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docProps/custom.xml" ContentType="application/vnd.openxmlformats-officedocument.custom-properties+xml"/>
  <Override PartName="/word/settings.xml" ContentType="application/vnd.openxmlformats-officedocument.wordprocessingml.settings+xml"/>
  <Override PartName="/word/header2.xml" ContentType="application/vnd.openxmlformats-officedocument.wordprocessingml.header+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4367CC" w:rsidRPr="00A60A5F" w:rsidRDefault="004367CC">
      <w:pPr>
        <w:rPr>
          <w:lang w:val="fr-CH"/>
        </w:rPr>
      </w:pPr>
    </w:p>
    <w:p w:rsidR="00DE0FC8" w:rsidRPr="0023529E" w:rsidRDefault="00DE0FC8"/>
    <w:p w:rsidR="00DE0FC8" w:rsidRDefault="00DE0FC8" w:rsidP="00DE0FC8">
      <w:pPr>
        <w:jc w:val="both"/>
        <w:rPr>
          <w:rFonts w:ascii="Century Gothic" w:hAnsi="Century Gothic"/>
          <w:b/>
        </w:rPr>
      </w:pPr>
    </w:p>
    <w:p w:rsidR="00DE0FC8" w:rsidRDefault="00DE0FC8" w:rsidP="00DE0FC8">
      <w:pPr>
        <w:jc w:val="both"/>
        <w:rPr>
          <w:rFonts w:ascii="Century Gothic" w:hAnsi="Century Gothic"/>
          <w:b/>
        </w:rPr>
      </w:pPr>
    </w:p>
    <w:p w:rsidR="00DE0FC8" w:rsidRDefault="00DE0FC8" w:rsidP="00DE0FC8">
      <w:pPr>
        <w:jc w:val="both"/>
        <w:rPr>
          <w:rFonts w:ascii="Century Gothic" w:hAnsi="Century Gothic"/>
          <w:b/>
          <w:sz w:val="36"/>
          <w:szCs w:val="36"/>
        </w:rPr>
      </w:pPr>
    </w:p>
    <w:p w:rsidR="00DE0FC8" w:rsidRDefault="00DE0FC8" w:rsidP="00DE0FC8">
      <w:pPr>
        <w:jc w:val="both"/>
        <w:rPr>
          <w:rFonts w:ascii="Century Gothic" w:hAnsi="Century Gothic"/>
          <w:b/>
          <w:sz w:val="36"/>
          <w:szCs w:val="36"/>
        </w:rPr>
      </w:pPr>
    </w:p>
    <w:p w:rsidR="00DE0FC8" w:rsidRDefault="00DE0FC8" w:rsidP="00DE0FC8">
      <w:pPr>
        <w:jc w:val="both"/>
        <w:rPr>
          <w:rFonts w:ascii="Century Gothic" w:hAnsi="Century Gothic"/>
          <w:b/>
          <w:sz w:val="36"/>
          <w:szCs w:val="36"/>
        </w:rPr>
      </w:pPr>
    </w:p>
    <w:p w:rsidR="00DE0FC8" w:rsidRDefault="00DE0FC8" w:rsidP="00DE0FC8">
      <w:pPr>
        <w:jc w:val="both"/>
        <w:rPr>
          <w:rFonts w:ascii="Century Gothic" w:hAnsi="Century Gothic"/>
          <w:b/>
          <w:sz w:val="36"/>
          <w:szCs w:val="36"/>
        </w:rPr>
      </w:pPr>
    </w:p>
    <w:p w:rsidR="00DE0FC8" w:rsidRPr="00A60A5F" w:rsidRDefault="005B448F" w:rsidP="00D07FF1">
      <w:pPr>
        <w:jc w:val="center"/>
        <w:rPr>
          <w:rFonts w:ascii="Century Gothic" w:hAnsi="Century Gothic"/>
          <w:b/>
          <w:sz w:val="36"/>
          <w:szCs w:val="36"/>
          <w:lang w:val="fr-CH"/>
        </w:rPr>
      </w:pPr>
      <w:bookmarkStart w:id="0" w:name="OLE_LINK1"/>
      <w:bookmarkStart w:id="1" w:name="OLE_LINK2"/>
      <w:bookmarkEnd w:id="0"/>
      <w:bookmarkEnd w:id="1"/>
      <w:r w:rsidRPr="00A60A5F">
        <w:rPr>
          <w:b/>
          <w:lang w:val="fr-CH"/>
        </w:rPr>
        <w:t xml:space="preserve">Directive relative à la procédure applicable aux marchés de services et de construction pour des projets de construction de l’Aide humanitaire et du CSA </w:t>
      </w:r>
    </w:p>
    <w:p w:rsidR="00DE0FC8" w:rsidRPr="00A60A5F" w:rsidRDefault="00DE0FC8" w:rsidP="009627BB">
      <w:pPr>
        <w:rPr>
          <w:rFonts w:ascii="Century Gothic" w:hAnsi="Century Gothic"/>
          <w:b/>
          <w:lang w:val="fr-CH"/>
        </w:rPr>
      </w:pPr>
    </w:p>
    <w:p w:rsidR="00DE0FC8" w:rsidRPr="00A60A5F" w:rsidRDefault="00DE0FC8" w:rsidP="00DE0FC8">
      <w:pPr>
        <w:jc w:val="both"/>
        <w:rPr>
          <w:rFonts w:ascii="Century Gothic" w:hAnsi="Century Gothic"/>
          <w:b/>
          <w:lang w:val="fr-CH"/>
        </w:rPr>
      </w:pPr>
    </w:p>
    <w:p w:rsidR="00DE0FC8" w:rsidRPr="00A60A5F" w:rsidRDefault="00DE0FC8" w:rsidP="00DE0FC8">
      <w:pPr>
        <w:jc w:val="both"/>
        <w:rPr>
          <w:rFonts w:ascii="Century Gothic" w:hAnsi="Century Gothic"/>
          <w:b/>
          <w:lang w:val="fr-CH"/>
        </w:rPr>
      </w:pPr>
    </w:p>
    <w:p w:rsidR="00DE0FC8" w:rsidRPr="00A60A5F" w:rsidRDefault="00DE0FC8" w:rsidP="00DE0FC8">
      <w:pPr>
        <w:jc w:val="both"/>
        <w:rPr>
          <w:rFonts w:ascii="Century Gothic" w:hAnsi="Century Gothic"/>
          <w:b/>
          <w:lang w:val="fr-CH"/>
        </w:rPr>
      </w:pPr>
    </w:p>
    <w:p w:rsidR="00DE0FC8" w:rsidRPr="00A60A5F" w:rsidRDefault="00DE0FC8" w:rsidP="00DE0FC8">
      <w:pPr>
        <w:jc w:val="both"/>
        <w:rPr>
          <w:rFonts w:ascii="Century Gothic" w:hAnsi="Century Gothic"/>
          <w:b/>
          <w:lang w:val="fr-CH"/>
        </w:rPr>
      </w:pPr>
    </w:p>
    <w:p w:rsidR="00DE0FC8" w:rsidRPr="00A60A5F" w:rsidRDefault="00DE0FC8" w:rsidP="00DE0FC8">
      <w:pPr>
        <w:jc w:val="both"/>
        <w:rPr>
          <w:rFonts w:ascii="Century Gothic" w:hAnsi="Century Gothic"/>
          <w:b/>
          <w:lang w:val="fr-CH"/>
        </w:rPr>
      </w:pPr>
    </w:p>
    <w:p w:rsidR="00DE0FC8" w:rsidRPr="00A60A5F" w:rsidRDefault="00DE0FC8" w:rsidP="00DE0FC8">
      <w:pPr>
        <w:jc w:val="both"/>
        <w:rPr>
          <w:rFonts w:ascii="Century Gothic" w:hAnsi="Century Gothic"/>
          <w:b/>
          <w:lang w:val="fr-CH"/>
        </w:rPr>
      </w:pPr>
    </w:p>
    <w:p w:rsidR="00DE0FC8" w:rsidRPr="00A60A5F" w:rsidRDefault="00DE0FC8" w:rsidP="00DE0FC8">
      <w:pPr>
        <w:jc w:val="both"/>
        <w:rPr>
          <w:rFonts w:ascii="Century Gothic" w:hAnsi="Century Gothic"/>
          <w:b/>
          <w:lang w:val="fr-CH"/>
        </w:rPr>
      </w:pPr>
    </w:p>
    <w:p w:rsidR="00DE0FC8" w:rsidRPr="00A60A5F" w:rsidRDefault="00DE0FC8" w:rsidP="00DE0FC8">
      <w:pPr>
        <w:jc w:val="both"/>
        <w:rPr>
          <w:rFonts w:ascii="Century Gothic" w:hAnsi="Century Gothic"/>
          <w:b/>
          <w:lang w:val="fr-CH"/>
        </w:rPr>
      </w:pPr>
    </w:p>
    <w:p w:rsidR="00DE0FC8" w:rsidRPr="00A60A5F" w:rsidRDefault="00DE0FC8" w:rsidP="00DE0FC8">
      <w:pPr>
        <w:jc w:val="both"/>
        <w:rPr>
          <w:rFonts w:ascii="Century Gothic" w:hAnsi="Century Gothic"/>
          <w:b/>
          <w:lang w:val="fr-CH"/>
        </w:rPr>
      </w:pPr>
    </w:p>
    <w:p w:rsidR="00DE0FC8" w:rsidRPr="00A60A5F" w:rsidRDefault="00DE0FC8" w:rsidP="00DE0FC8">
      <w:pPr>
        <w:jc w:val="both"/>
        <w:rPr>
          <w:rFonts w:ascii="Century Gothic" w:hAnsi="Century Gothic"/>
          <w:b/>
          <w:lang w:val="fr-CH"/>
        </w:rPr>
      </w:pPr>
    </w:p>
    <w:p w:rsidR="00DE0FC8" w:rsidRPr="00A60A5F" w:rsidRDefault="00DE0FC8" w:rsidP="00DE0FC8">
      <w:pPr>
        <w:jc w:val="both"/>
        <w:rPr>
          <w:rFonts w:ascii="Century Gothic" w:hAnsi="Century Gothic"/>
          <w:b/>
          <w:lang w:val="fr-CH"/>
        </w:rPr>
      </w:pPr>
    </w:p>
    <w:p w:rsidR="00DE0FC8" w:rsidRPr="00A60A5F" w:rsidRDefault="00DE0FC8" w:rsidP="00DE0FC8">
      <w:pPr>
        <w:jc w:val="both"/>
        <w:rPr>
          <w:rFonts w:ascii="Century Gothic" w:hAnsi="Century Gothic"/>
          <w:b/>
          <w:lang w:val="fr-CH"/>
        </w:rPr>
      </w:pPr>
    </w:p>
    <w:p w:rsidR="00DE0FC8" w:rsidRPr="00A60A5F" w:rsidRDefault="00DE0FC8" w:rsidP="00DE0FC8">
      <w:pPr>
        <w:jc w:val="both"/>
        <w:rPr>
          <w:rFonts w:ascii="Century Gothic" w:hAnsi="Century Gothic"/>
          <w:b/>
          <w:lang w:val="fr-CH"/>
        </w:rPr>
      </w:pPr>
    </w:p>
    <w:p w:rsidR="00DE0FC8" w:rsidRPr="00A60A5F" w:rsidRDefault="00DE0FC8" w:rsidP="00DE0FC8">
      <w:pPr>
        <w:jc w:val="both"/>
        <w:rPr>
          <w:rFonts w:ascii="Century Gothic" w:hAnsi="Century Gothic"/>
          <w:b/>
          <w:lang w:val="fr-CH"/>
        </w:rPr>
      </w:pPr>
    </w:p>
    <w:p w:rsidR="00DE0FC8" w:rsidRPr="00A60A5F" w:rsidRDefault="00DE0FC8" w:rsidP="00DE0FC8">
      <w:pPr>
        <w:jc w:val="both"/>
        <w:rPr>
          <w:rFonts w:ascii="Century Gothic" w:hAnsi="Century Gothic"/>
          <w:b/>
          <w:lang w:val="fr-CH"/>
        </w:rPr>
      </w:pPr>
    </w:p>
    <w:p w:rsidR="00DE0FC8" w:rsidRPr="00A60A5F" w:rsidRDefault="00DE0FC8" w:rsidP="00DE0FC8">
      <w:pPr>
        <w:jc w:val="both"/>
        <w:rPr>
          <w:rFonts w:ascii="Century Gothic" w:hAnsi="Century Gothic"/>
          <w:b/>
          <w:lang w:val="fr-CH"/>
        </w:rPr>
      </w:pPr>
    </w:p>
    <w:p w:rsidR="00DE0FC8" w:rsidRPr="00A60A5F" w:rsidRDefault="00DE0FC8" w:rsidP="00DE0FC8">
      <w:pPr>
        <w:jc w:val="both"/>
        <w:rPr>
          <w:rFonts w:ascii="Century Gothic" w:hAnsi="Century Gothic"/>
          <w:b/>
          <w:lang w:val="fr-CH"/>
        </w:rPr>
      </w:pPr>
    </w:p>
    <w:p w:rsidR="00DE0FC8" w:rsidRPr="00A60A5F" w:rsidRDefault="00DE0FC8" w:rsidP="00DE0FC8">
      <w:pPr>
        <w:jc w:val="both"/>
        <w:rPr>
          <w:rFonts w:ascii="Century Gothic" w:hAnsi="Century Gothic"/>
          <w:b/>
          <w:lang w:val="fr-CH"/>
        </w:rPr>
      </w:pPr>
    </w:p>
    <w:p w:rsidR="00DE0FC8" w:rsidRPr="00A60A5F" w:rsidRDefault="00DE0FC8" w:rsidP="00DE0FC8">
      <w:pPr>
        <w:jc w:val="both"/>
        <w:rPr>
          <w:rFonts w:ascii="Century Gothic" w:hAnsi="Century Gothic"/>
          <w:b/>
          <w:lang w:val="fr-CH"/>
        </w:rPr>
      </w:pPr>
    </w:p>
    <w:p w:rsidR="00DE0FC8" w:rsidRPr="00A60A5F" w:rsidRDefault="00DE0FC8" w:rsidP="00DE0FC8">
      <w:pPr>
        <w:jc w:val="both"/>
        <w:rPr>
          <w:rFonts w:ascii="Century Gothic" w:hAnsi="Century Gothic"/>
          <w:b/>
          <w:lang w:val="fr-CH"/>
        </w:rPr>
      </w:pPr>
    </w:p>
    <w:p w:rsidR="00DE0FC8" w:rsidRPr="00A60A5F" w:rsidRDefault="00DE0FC8" w:rsidP="00DE0FC8">
      <w:pPr>
        <w:jc w:val="both"/>
        <w:rPr>
          <w:rFonts w:ascii="Century Gothic" w:hAnsi="Century Gothic"/>
          <w:b/>
          <w:lang w:val="fr-CH"/>
        </w:rPr>
      </w:pPr>
    </w:p>
    <w:p w:rsidR="00DE0FC8" w:rsidRPr="00A60A5F" w:rsidRDefault="00DE0FC8" w:rsidP="00DE0FC8">
      <w:pPr>
        <w:jc w:val="both"/>
        <w:rPr>
          <w:rFonts w:ascii="Century Gothic" w:hAnsi="Century Gothic"/>
          <w:b/>
          <w:lang w:val="fr-CH"/>
        </w:rPr>
      </w:pPr>
    </w:p>
    <w:p w:rsidR="00806F8D" w:rsidRPr="00A60A5F" w:rsidRDefault="00DE0FC8" w:rsidP="00DE0FC8">
      <w:pPr>
        <w:jc w:val="both"/>
        <w:rPr>
          <w:rFonts w:ascii="Century Gothic" w:hAnsi="Century Gothic"/>
          <w:b/>
          <w:lang w:val="fr-CH"/>
        </w:rPr>
      </w:pPr>
      <w:r w:rsidRPr="00A60A5F">
        <w:rPr>
          <w:rFonts w:ascii="Century Gothic" w:hAnsi="Century Gothic"/>
          <w:b/>
          <w:lang w:val="fr-CH"/>
        </w:rPr>
        <w:br w:type="page"/>
      </w:r>
    </w:p>
    <w:p w:rsidR="00D07FF1" w:rsidRPr="00A60A5F" w:rsidRDefault="00D07FF1" w:rsidP="00DE0FC8">
      <w:pPr>
        <w:jc w:val="both"/>
        <w:rPr>
          <w:rFonts w:ascii="Century Gothic" w:hAnsi="Century Gothic"/>
          <w:b/>
          <w:lang w:val="fr-CH"/>
        </w:rPr>
      </w:pPr>
    </w:p>
    <w:p w:rsidR="005B448F" w:rsidRPr="00A60A5F" w:rsidRDefault="005B448F" w:rsidP="00DE0FC8">
      <w:pPr>
        <w:jc w:val="both"/>
        <w:rPr>
          <w:rFonts w:ascii="Century Gothic" w:hAnsi="Century Gothic"/>
          <w:b/>
          <w:lang w:val="fr-CH"/>
        </w:rPr>
      </w:pPr>
      <w:r w:rsidRPr="00A60A5F">
        <w:rPr>
          <w:b/>
          <w:lang w:val="fr-CH"/>
        </w:rPr>
        <w:t>But et champ d’application de la directive</w:t>
      </w:r>
    </w:p>
    <w:p w:rsidR="005B448F" w:rsidRPr="00A60A5F" w:rsidRDefault="009923F7" w:rsidP="00DE0FC8">
      <w:pPr>
        <w:jc w:val="both"/>
        <w:rPr>
          <w:rFonts w:ascii="Century Gothic" w:hAnsi="Century Gothic"/>
          <w:lang w:val="fr-CH"/>
        </w:rPr>
      </w:pPr>
      <w:r w:rsidRPr="00A60A5F">
        <w:rPr>
          <w:lang w:val="fr-CH"/>
        </w:rPr>
        <w:t xml:space="preserve">La présente directive définit la procédure applicable aux marchés de services et de construction conclus dans le cadre de projets de construction menés par l’Aide humanitaire de la DDC (AH-DDC) dans ses pays d’intervention. Elle a pour but de garantir une application simple et uniforme de la procédure de marchés dans le respect de la directive et des bases légales énoncées ci-après. La présente directive s’applique à l’ensemble des marchés de services et de construction adjugés dans le cadre de projets de construction qui sont directement planifiés et mis en œuvre par l’AH-DDC ou qui sont confiés à des partenaires moyennant un financement &gt;50%. Toute procédure d’adjudication de marchés de services et de construction dérogeant aux dispositions de la directive requiert l’approbation préalable de la direction du domaine AH-DDC.  </w:t>
      </w:r>
    </w:p>
    <w:p w:rsidR="005B448F" w:rsidRPr="00A60A5F" w:rsidRDefault="005B448F" w:rsidP="00DE0FC8">
      <w:pPr>
        <w:jc w:val="both"/>
        <w:rPr>
          <w:rFonts w:ascii="Century Gothic" w:hAnsi="Century Gothic"/>
          <w:lang w:val="fr-CH"/>
        </w:rPr>
      </w:pPr>
    </w:p>
    <w:p w:rsidR="00DE0FC8" w:rsidRDefault="005B448F" w:rsidP="00DE0FC8">
      <w:pPr>
        <w:jc w:val="both"/>
        <w:rPr>
          <w:rFonts w:ascii="Century Gothic" w:hAnsi="Century Gothic"/>
          <w:b/>
        </w:rPr>
      </w:pPr>
      <w:r>
        <w:rPr>
          <w:b/>
        </w:rPr>
        <w:t>Bases légales et directive</w:t>
      </w:r>
    </w:p>
    <w:p w:rsidR="005B448F" w:rsidRPr="00A60A5F" w:rsidRDefault="005B448F" w:rsidP="005D00EC">
      <w:pPr>
        <w:numPr>
          <w:ilvl w:val="0"/>
          <w:numId w:val="25"/>
        </w:numPr>
        <w:jc w:val="both"/>
        <w:rPr>
          <w:rFonts w:ascii="Century Gothic" w:hAnsi="Century Gothic"/>
          <w:lang w:val="fr-CH"/>
        </w:rPr>
      </w:pPr>
      <w:r w:rsidRPr="00A60A5F">
        <w:rPr>
          <w:lang w:val="fr-CH"/>
        </w:rPr>
        <w:t>Loi fédérale sur les marchés publics (LMP 172.056.1)</w:t>
      </w:r>
    </w:p>
    <w:p w:rsidR="003A474D" w:rsidRPr="00A60A5F" w:rsidRDefault="003A474D" w:rsidP="005D00EC">
      <w:pPr>
        <w:numPr>
          <w:ilvl w:val="0"/>
          <w:numId w:val="25"/>
        </w:numPr>
        <w:jc w:val="both"/>
        <w:rPr>
          <w:rFonts w:ascii="Century Gothic" w:hAnsi="Century Gothic"/>
          <w:lang w:val="fr-CH"/>
        </w:rPr>
      </w:pPr>
      <w:r w:rsidRPr="00A60A5F">
        <w:rPr>
          <w:lang w:val="fr-CH"/>
        </w:rPr>
        <w:t>Ordonnance sur les marchés publics (OMP 172.056.11)</w:t>
      </w:r>
    </w:p>
    <w:p w:rsidR="009923F7" w:rsidRPr="00A60A5F" w:rsidRDefault="009923F7" w:rsidP="005D00EC">
      <w:pPr>
        <w:numPr>
          <w:ilvl w:val="0"/>
          <w:numId w:val="25"/>
        </w:numPr>
        <w:jc w:val="both"/>
        <w:rPr>
          <w:rFonts w:ascii="Century Gothic" w:hAnsi="Century Gothic"/>
          <w:lang w:val="fr-CH"/>
        </w:rPr>
      </w:pPr>
      <w:r w:rsidRPr="00A60A5F">
        <w:rPr>
          <w:lang w:val="fr-CH"/>
        </w:rPr>
        <w:t>Directive du DFAE sur les marchés publics de services et les mandats (directive 330-0-F)</w:t>
      </w:r>
    </w:p>
    <w:p w:rsidR="00DE0FC8" w:rsidRPr="00A60A5F" w:rsidRDefault="00DE0FC8" w:rsidP="00DE0FC8">
      <w:pPr>
        <w:jc w:val="both"/>
        <w:rPr>
          <w:rFonts w:ascii="Century Gothic" w:hAnsi="Century Gothic"/>
          <w:lang w:val="fr-CH"/>
        </w:rPr>
      </w:pPr>
    </w:p>
    <w:p w:rsidR="00DE0FC8" w:rsidRPr="00A60A5F" w:rsidRDefault="00DE0FC8" w:rsidP="00DE0FC8">
      <w:pPr>
        <w:jc w:val="both"/>
        <w:rPr>
          <w:rFonts w:ascii="Century Gothic" w:hAnsi="Century Gothic"/>
          <w:b/>
          <w:lang w:val="fr-CH"/>
        </w:rPr>
      </w:pPr>
      <w:r w:rsidRPr="00A60A5F">
        <w:rPr>
          <w:b/>
          <w:lang w:val="fr-CH"/>
        </w:rPr>
        <w:t>Principes régissant l’appel d’offres et l’adjudication</w:t>
      </w:r>
    </w:p>
    <w:p w:rsidR="00DE0FC8" w:rsidRPr="00A60A5F" w:rsidRDefault="00DE0FC8" w:rsidP="00DE0FC8">
      <w:pPr>
        <w:jc w:val="both"/>
        <w:rPr>
          <w:rFonts w:ascii="Century Gothic" w:hAnsi="Century Gothic"/>
          <w:lang w:val="fr-CH"/>
        </w:rPr>
      </w:pPr>
      <w:r w:rsidRPr="00A60A5F">
        <w:rPr>
          <w:lang w:val="fr-CH"/>
        </w:rPr>
        <w:t>Dans le cadre d’une procédure de marchés,</w:t>
      </w:r>
    </w:p>
    <w:p w:rsidR="00DE0FC8" w:rsidRPr="00A60A5F" w:rsidRDefault="00DE0FC8" w:rsidP="00DE0FC8">
      <w:pPr>
        <w:numPr>
          <w:ilvl w:val="0"/>
          <w:numId w:val="6"/>
        </w:numPr>
        <w:tabs>
          <w:tab w:val="clear" w:pos="360"/>
          <w:tab w:val="num" w:pos="180"/>
        </w:tabs>
        <w:ind w:left="180" w:hanging="180"/>
        <w:rPr>
          <w:rFonts w:ascii="Century Gothic" w:hAnsi="Century Gothic"/>
          <w:lang w:val="fr-CH"/>
        </w:rPr>
      </w:pPr>
      <w:r w:rsidRPr="00A60A5F">
        <w:rPr>
          <w:lang w:val="fr-CH"/>
        </w:rPr>
        <w:t xml:space="preserve">il convient d’assurer à tout moment la transparence des procédures,  </w:t>
      </w:r>
    </w:p>
    <w:p w:rsidR="00DE0FC8" w:rsidRPr="00A60A5F" w:rsidRDefault="00DE0FC8" w:rsidP="00DE0FC8">
      <w:pPr>
        <w:numPr>
          <w:ilvl w:val="0"/>
          <w:numId w:val="6"/>
        </w:numPr>
        <w:tabs>
          <w:tab w:val="clear" w:pos="360"/>
          <w:tab w:val="num" w:pos="180"/>
        </w:tabs>
        <w:ind w:left="180" w:hanging="180"/>
        <w:rPr>
          <w:rFonts w:ascii="Century Gothic" w:hAnsi="Century Gothic"/>
          <w:lang w:val="fr-CH"/>
        </w:rPr>
      </w:pPr>
      <w:r w:rsidRPr="00A60A5F">
        <w:rPr>
          <w:lang w:val="fr-CH"/>
        </w:rPr>
        <w:t>il convient de garantir l’égalité de traitement et la non-discrimination des soumissionnaires,</w:t>
      </w:r>
    </w:p>
    <w:p w:rsidR="00DE0FC8" w:rsidRPr="00A60A5F" w:rsidRDefault="00DE0FC8" w:rsidP="00DE0FC8">
      <w:pPr>
        <w:numPr>
          <w:ilvl w:val="0"/>
          <w:numId w:val="6"/>
        </w:numPr>
        <w:tabs>
          <w:tab w:val="clear" w:pos="360"/>
          <w:tab w:val="num" w:pos="180"/>
        </w:tabs>
        <w:ind w:left="180" w:hanging="180"/>
        <w:rPr>
          <w:rFonts w:ascii="Century Gothic" w:hAnsi="Century Gothic"/>
          <w:lang w:val="fr-CH"/>
        </w:rPr>
      </w:pPr>
      <w:r w:rsidRPr="00A60A5F">
        <w:rPr>
          <w:lang w:val="fr-CH"/>
        </w:rPr>
        <w:t>il convient de promouvoir une concurrence efficace entre les soumissionnaires,</w:t>
      </w:r>
    </w:p>
    <w:p w:rsidR="00DE0FC8" w:rsidRPr="00A60A5F" w:rsidRDefault="00DE0FC8" w:rsidP="00DE0FC8">
      <w:pPr>
        <w:numPr>
          <w:ilvl w:val="0"/>
          <w:numId w:val="6"/>
        </w:numPr>
        <w:tabs>
          <w:tab w:val="clear" w:pos="360"/>
          <w:tab w:val="num" w:pos="180"/>
        </w:tabs>
        <w:ind w:left="180" w:hanging="180"/>
        <w:rPr>
          <w:rFonts w:ascii="Century Gothic" w:hAnsi="Century Gothic"/>
          <w:lang w:val="fr-CH"/>
        </w:rPr>
      </w:pPr>
      <w:r w:rsidRPr="00A60A5F">
        <w:rPr>
          <w:lang w:val="fr-CH"/>
        </w:rPr>
        <w:t>il est interdit de négocier les prix avec les soumissionnaires (négociations sur les prix) après l’adjudication,</w:t>
      </w:r>
    </w:p>
    <w:p w:rsidR="00DE0FC8" w:rsidRPr="00A60A5F" w:rsidRDefault="00DE0FC8" w:rsidP="00DE0FC8">
      <w:pPr>
        <w:numPr>
          <w:ilvl w:val="0"/>
          <w:numId w:val="6"/>
        </w:numPr>
        <w:tabs>
          <w:tab w:val="clear" w:pos="360"/>
          <w:tab w:val="num" w:pos="180"/>
        </w:tabs>
        <w:ind w:left="180" w:hanging="180"/>
        <w:rPr>
          <w:rFonts w:ascii="Century Gothic" w:hAnsi="Century Gothic"/>
          <w:lang w:val="fr-CH"/>
        </w:rPr>
      </w:pPr>
      <w:r w:rsidRPr="00A60A5F">
        <w:rPr>
          <w:lang w:val="fr-CH"/>
        </w:rPr>
        <w:t xml:space="preserve">il convient de garantir l’égalité de traitement entre hommes et femmes et de tenir compte des minorités,  </w:t>
      </w:r>
    </w:p>
    <w:p w:rsidR="00DE0FC8" w:rsidRPr="00A60A5F" w:rsidRDefault="00DE0FC8" w:rsidP="00DE0FC8">
      <w:pPr>
        <w:numPr>
          <w:ilvl w:val="0"/>
          <w:numId w:val="6"/>
        </w:numPr>
        <w:tabs>
          <w:tab w:val="clear" w:pos="360"/>
          <w:tab w:val="num" w:pos="180"/>
        </w:tabs>
        <w:ind w:left="180" w:hanging="180"/>
        <w:rPr>
          <w:rFonts w:ascii="Century Gothic" w:hAnsi="Century Gothic"/>
          <w:lang w:val="fr-CH"/>
        </w:rPr>
      </w:pPr>
      <w:r w:rsidRPr="00A60A5F">
        <w:rPr>
          <w:lang w:val="fr-CH"/>
        </w:rPr>
        <w:t>il convient de traiter les informations de manière confidentielle.</w:t>
      </w:r>
    </w:p>
    <w:p w:rsidR="00DE0FC8" w:rsidRPr="00A60A5F" w:rsidRDefault="00DE0FC8" w:rsidP="00DE0FC8">
      <w:pPr>
        <w:jc w:val="both"/>
        <w:rPr>
          <w:rFonts w:ascii="Century Gothic" w:hAnsi="Century Gothic"/>
          <w:b/>
          <w:lang w:val="fr-CH"/>
        </w:rPr>
      </w:pPr>
    </w:p>
    <w:p w:rsidR="00DE0FC8" w:rsidRPr="00A60A5F" w:rsidRDefault="00DE0FC8" w:rsidP="00DE0FC8">
      <w:pPr>
        <w:jc w:val="both"/>
        <w:rPr>
          <w:rFonts w:ascii="Century Gothic" w:hAnsi="Century Gothic"/>
          <w:b/>
          <w:lang w:val="fr-CH"/>
        </w:rPr>
      </w:pPr>
      <w:r w:rsidRPr="00A60A5F">
        <w:rPr>
          <w:b/>
          <w:lang w:val="fr-CH"/>
        </w:rPr>
        <w:t>Appel d’offres et adjudication</w:t>
      </w:r>
    </w:p>
    <w:p w:rsidR="00DE0FC8" w:rsidRPr="00A60A5F" w:rsidRDefault="00DE0FC8" w:rsidP="00DE0FC8">
      <w:pPr>
        <w:jc w:val="both"/>
        <w:rPr>
          <w:rFonts w:ascii="Century Gothic" w:hAnsi="Century Gothic"/>
          <w:lang w:val="fr-CH"/>
        </w:rPr>
      </w:pPr>
      <w:r w:rsidRPr="00A60A5F">
        <w:rPr>
          <w:lang w:val="fr-CH"/>
        </w:rPr>
        <w:t xml:space="preserve">Les marchés de services et de construction doivent, si possible, être adjugés à des entreprises locales. La possibilité d’associer la population locale aux travaux de construction doit être étudiée et, éventuellement, définie comme critère d’adjudication. Les entreprises doivent par ailleurs être examinées et évaluées selon des critères mesurables (critères d’aptitude).  </w:t>
      </w:r>
    </w:p>
    <w:p w:rsidR="00DE0FC8" w:rsidRPr="00A60A5F" w:rsidRDefault="00DE0FC8" w:rsidP="00DE0FC8">
      <w:pPr>
        <w:jc w:val="both"/>
        <w:rPr>
          <w:rFonts w:ascii="Century Gothic" w:hAnsi="Century Gothic"/>
          <w:lang w:val="fr-CH"/>
        </w:rPr>
      </w:pPr>
      <w:r w:rsidRPr="00A60A5F">
        <w:rPr>
          <w:lang w:val="fr-CH"/>
        </w:rPr>
        <w:t>Les appels d’offres doivent être clairement établis et assortis d’une réserve de 5% au maximum. L’adjudication peut prévoir une prise en charge forfaitaire pour autant que tous les détails soient clarifiés et définis. Sinon, le décompte doit être établi sur la base des heures de travail effectives.</w:t>
      </w:r>
    </w:p>
    <w:p w:rsidR="00DE0FC8" w:rsidRPr="00A60A5F" w:rsidRDefault="00DE0FC8" w:rsidP="00DE0FC8">
      <w:pPr>
        <w:jc w:val="both"/>
        <w:rPr>
          <w:rFonts w:ascii="Century Gothic" w:hAnsi="Century Gothic"/>
          <w:lang w:val="fr-CH"/>
        </w:rPr>
      </w:pPr>
    </w:p>
    <w:p w:rsidR="00DE0FC8" w:rsidRPr="00A60A5F" w:rsidRDefault="00DE0FC8" w:rsidP="00DE0FC8">
      <w:pPr>
        <w:jc w:val="both"/>
        <w:rPr>
          <w:rFonts w:ascii="Century Gothic" w:hAnsi="Century Gothic"/>
          <w:b/>
          <w:lang w:val="fr-CH"/>
        </w:rPr>
      </w:pPr>
      <w:r w:rsidRPr="00A60A5F">
        <w:rPr>
          <w:b/>
          <w:lang w:val="fr-CH"/>
        </w:rPr>
        <w:t>Procédure applicable aux mandats portant sur la prestation de services et la réalisation de travaux</w:t>
      </w:r>
    </w:p>
    <w:p w:rsidR="00C71271" w:rsidRPr="00A60A5F" w:rsidRDefault="00DE0FC8" w:rsidP="00DE0FC8">
      <w:pPr>
        <w:jc w:val="both"/>
        <w:rPr>
          <w:rFonts w:ascii="Century Gothic" w:hAnsi="Century Gothic"/>
          <w:lang w:val="fr-CH"/>
        </w:rPr>
      </w:pPr>
      <w:r w:rsidRPr="00A60A5F">
        <w:rPr>
          <w:lang w:val="fr-CH"/>
        </w:rPr>
        <w:t>Les procédures retenues pour les marchés de services (architecture, ingénieur, supervision de travaux, etc.) et de construction sont en principe les suivantes :</w:t>
      </w:r>
    </w:p>
    <w:p w:rsidR="00D07FF1" w:rsidRPr="00A60A5F" w:rsidRDefault="00D07FF1" w:rsidP="00DE0FC8">
      <w:pPr>
        <w:jc w:val="both"/>
        <w:rPr>
          <w:rFonts w:ascii="Century Gothic" w:hAnsi="Century Gothic"/>
          <w:lang w:val="fr-CH"/>
        </w:rPr>
      </w:pPr>
    </w:p>
    <w:p w:rsidR="00DE0FC8" w:rsidRPr="00A60A5F" w:rsidRDefault="00DE0FC8" w:rsidP="00DE0FC8">
      <w:pPr>
        <w:jc w:val="both"/>
        <w:rPr>
          <w:rFonts w:ascii="Century Gothic" w:hAnsi="Century Gothic"/>
          <w:b/>
          <w:lang w:val="fr-CH"/>
        </w:rPr>
      </w:pPr>
      <w:r w:rsidRPr="00A60A5F">
        <w:rPr>
          <w:b/>
          <w:lang w:val="fr-CH"/>
        </w:rPr>
        <w:t>1. Procédure de gré à gré</w:t>
      </w:r>
    </w:p>
    <w:p w:rsidR="00DE0FC8" w:rsidRPr="00A60A5F" w:rsidRDefault="00DE0FC8" w:rsidP="00DE0FC8">
      <w:pPr>
        <w:jc w:val="both"/>
        <w:rPr>
          <w:rFonts w:ascii="Century Gothic" w:hAnsi="Century Gothic"/>
          <w:lang w:val="fr-CH"/>
        </w:rPr>
      </w:pPr>
      <w:r w:rsidRPr="00A60A5F">
        <w:rPr>
          <w:lang w:val="fr-CH"/>
        </w:rPr>
        <w:t>Le mandat est attribué directement et ne fait l’objet d’aucun appel d’offres. L’adjudicateur est libre de choisir les soumissionnaires qu’il souhaite inviter à déposer une offre. Il est également possible de recourir à la procédure ouverte ou sélective</w:t>
      </w:r>
      <w:r w:rsidR="00A60A5F">
        <w:rPr>
          <w:lang w:val="fr-CH"/>
        </w:rPr>
        <w:t xml:space="preserve"> </w:t>
      </w:r>
      <w:r w:rsidRPr="00A60A5F">
        <w:rPr>
          <w:lang w:val="fr-CH"/>
        </w:rPr>
        <w:t>par publication avec possibilité de déposer une offre ou encore à la procédure invitant à soumissionner, pour laquelle il n’existe aucune protection juridique.</w:t>
      </w:r>
    </w:p>
    <w:p w:rsidR="00DE0FC8" w:rsidRPr="00A60A5F" w:rsidRDefault="00DE0FC8" w:rsidP="00DE0FC8">
      <w:pPr>
        <w:jc w:val="both"/>
        <w:rPr>
          <w:rFonts w:ascii="Century Gothic" w:hAnsi="Century Gothic"/>
          <w:lang w:val="fr-CH"/>
        </w:rPr>
      </w:pPr>
    </w:p>
    <w:p w:rsidR="00DE0FC8" w:rsidRPr="00A60A5F" w:rsidRDefault="00DE0FC8" w:rsidP="00DE0FC8">
      <w:pPr>
        <w:jc w:val="both"/>
        <w:rPr>
          <w:rFonts w:ascii="Century Gothic" w:hAnsi="Century Gothic"/>
          <w:b/>
          <w:lang w:val="fr-CH"/>
        </w:rPr>
      </w:pPr>
      <w:r w:rsidRPr="00A60A5F">
        <w:rPr>
          <w:b/>
          <w:lang w:val="fr-CH"/>
        </w:rPr>
        <w:t>2. Procédure invitant à soumissionner</w:t>
      </w:r>
    </w:p>
    <w:p w:rsidR="00DE0FC8" w:rsidRPr="00A60A5F" w:rsidRDefault="00DF4211" w:rsidP="00C71271">
      <w:pPr>
        <w:rPr>
          <w:rFonts w:ascii="Century Gothic" w:hAnsi="Century Gothic"/>
          <w:iCs/>
          <w:lang w:val="fr-CH"/>
        </w:rPr>
      </w:pPr>
      <w:r w:rsidRPr="00A60A5F">
        <w:rPr>
          <w:lang w:val="fr-CH"/>
        </w:rPr>
        <w:t>L’adjudicateur est libre de choisir (l’appel d’offres est facultati</w:t>
      </w:r>
      <w:r w:rsidR="00A60A5F">
        <w:rPr>
          <w:lang w:val="fr-CH"/>
        </w:rPr>
        <w:t>f</w:t>
      </w:r>
      <w:r w:rsidRPr="00A60A5F">
        <w:rPr>
          <w:lang w:val="fr-CH"/>
        </w:rPr>
        <w:t xml:space="preserve">) les soumissionnaires qu’il souhaite inviter à déposer une offre. Les entreprises invitées à soumissionner doivent préalablement être examinées et sélectionnées sur la base de critères d’aptitude. Il convient de recueillir au minimum trois offres valables. La décision est communiquée à tous les candidats ayant déposé une offre. Cette procédure ne prévoit aucune protection juridique.  </w:t>
      </w:r>
    </w:p>
    <w:p w:rsidR="00D14F2F" w:rsidRPr="00A60A5F" w:rsidRDefault="00D14F2F" w:rsidP="00DE0FC8">
      <w:pPr>
        <w:jc w:val="both"/>
        <w:rPr>
          <w:rFonts w:ascii="Century Gothic" w:hAnsi="Century Gothic"/>
          <w:b/>
          <w:lang w:val="fr-CH"/>
        </w:rPr>
      </w:pPr>
    </w:p>
    <w:p w:rsidR="00DE0FC8" w:rsidRPr="00A60A5F" w:rsidRDefault="00DE0FC8" w:rsidP="00DE0FC8">
      <w:pPr>
        <w:jc w:val="both"/>
        <w:rPr>
          <w:rFonts w:ascii="Century Gothic" w:hAnsi="Century Gothic"/>
          <w:b/>
          <w:lang w:val="fr-CH"/>
        </w:rPr>
      </w:pPr>
      <w:r w:rsidRPr="00A60A5F">
        <w:rPr>
          <w:b/>
          <w:lang w:val="fr-CH"/>
        </w:rPr>
        <w:t>3. Procédure ouverte / sélective</w:t>
      </w:r>
    </w:p>
    <w:p w:rsidR="00DE0FC8" w:rsidRPr="00A60A5F" w:rsidRDefault="00DE0FC8" w:rsidP="00DE0FC8">
      <w:pPr>
        <w:jc w:val="both"/>
        <w:rPr>
          <w:rFonts w:ascii="Century Gothic" w:hAnsi="Century Gothic"/>
          <w:lang w:val="fr-CH"/>
        </w:rPr>
      </w:pPr>
      <w:r w:rsidRPr="00A60A5F">
        <w:rPr>
          <w:lang w:val="fr-CH"/>
        </w:rPr>
        <w:t xml:space="preserve">Le mandat doit faire l’objet d’un appel d’offres public. Les soumissionnaires sont examinés selon des </w:t>
      </w:r>
      <w:r w:rsidRPr="00A60A5F">
        <w:rPr>
          <w:b/>
          <w:lang w:val="fr-CH"/>
        </w:rPr>
        <w:t>critères d’aptitude</w:t>
      </w:r>
      <w:r w:rsidRPr="00A60A5F">
        <w:rPr>
          <w:lang w:val="fr-CH"/>
        </w:rPr>
        <w:t xml:space="preserve">*. L’appréciation est réalisée après réception des offres, en amont de l’examen des </w:t>
      </w:r>
      <w:r w:rsidRPr="00A60A5F">
        <w:rPr>
          <w:b/>
          <w:lang w:val="fr-CH"/>
        </w:rPr>
        <w:t>critères d’adjudication</w:t>
      </w:r>
      <w:r w:rsidRPr="00A60A5F">
        <w:rPr>
          <w:lang w:val="fr-CH"/>
        </w:rPr>
        <w:t>** (procédure ouverte) ou dans le cadre d’une procédure de présélection spéciale (procédure sélective). Dans une procédure ouverte, les soumissionnaires peuvent déposer une offre directement.</w:t>
      </w:r>
    </w:p>
    <w:p w:rsidR="00DE0FC8" w:rsidRPr="00A60A5F" w:rsidRDefault="00DE0FC8" w:rsidP="00DE0FC8">
      <w:pPr>
        <w:jc w:val="both"/>
        <w:rPr>
          <w:rFonts w:ascii="Century Gothic" w:hAnsi="Century Gothic"/>
          <w:lang w:val="fr-CH"/>
        </w:rPr>
      </w:pPr>
      <w:r w:rsidRPr="00A60A5F">
        <w:rPr>
          <w:lang w:val="fr-CH"/>
        </w:rPr>
        <w:t>Dans une procédure sélective, les candidats déposent un dossier dans le but d’être invités à déposer une offre. L’adjudication est notifiée sous forme d’une décision sujette à recours (cf. modèle de décision dans l’annexe 1).</w:t>
      </w:r>
    </w:p>
    <w:p w:rsidR="00DE0FC8" w:rsidRPr="00A60A5F" w:rsidRDefault="00DE0FC8" w:rsidP="00DE0FC8">
      <w:pPr>
        <w:jc w:val="both"/>
        <w:rPr>
          <w:rFonts w:ascii="Century Gothic" w:hAnsi="Century Gothic"/>
          <w:lang w:val="fr-CH"/>
        </w:rPr>
      </w:pPr>
    </w:p>
    <w:p w:rsidR="00DE0FC8" w:rsidRPr="00A60A5F" w:rsidRDefault="00DE0FC8" w:rsidP="00DE0FC8">
      <w:pPr>
        <w:jc w:val="both"/>
        <w:rPr>
          <w:rFonts w:ascii="Century Gothic" w:hAnsi="Century Gothic"/>
          <w:b/>
          <w:lang w:val="fr-CH"/>
        </w:rPr>
      </w:pPr>
      <w:r w:rsidRPr="00A60A5F">
        <w:rPr>
          <w:b/>
          <w:lang w:val="fr-CH"/>
        </w:rPr>
        <w:t>* Critères d’aptitude</w:t>
      </w:r>
    </w:p>
    <w:p w:rsidR="00DE0FC8" w:rsidRPr="00A60A5F" w:rsidRDefault="00DE0FC8" w:rsidP="00DE0FC8">
      <w:pPr>
        <w:jc w:val="both"/>
        <w:rPr>
          <w:rFonts w:ascii="Century Gothic" w:hAnsi="Century Gothic"/>
          <w:lang w:val="fr-CH"/>
        </w:rPr>
      </w:pPr>
      <w:r w:rsidRPr="00A60A5F">
        <w:rPr>
          <w:lang w:val="fr-CH"/>
        </w:rPr>
        <w:t xml:space="preserve">Les critères d’aptitude se réfèrent à la personne du soumissionnaire ou à l’entreprise. Ils portent en particulier sur des considérations professionnelles, techniques, organisationnelles ou économiques (financières).  </w:t>
      </w:r>
    </w:p>
    <w:p w:rsidR="00DE0FC8" w:rsidRPr="00A60A5F" w:rsidRDefault="00DE0FC8" w:rsidP="00DE0FC8">
      <w:pPr>
        <w:jc w:val="both"/>
        <w:rPr>
          <w:rFonts w:ascii="Century Gothic" w:hAnsi="Century Gothic"/>
          <w:lang w:val="fr-CH"/>
        </w:rPr>
      </w:pPr>
    </w:p>
    <w:p w:rsidR="00DE0FC8" w:rsidRPr="00A60A5F" w:rsidRDefault="00DE0FC8" w:rsidP="00DE0FC8">
      <w:pPr>
        <w:jc w:val="both"/>
        <w:rPr>
          <w:rFonts w:ascii="Century Gothic" w:hAnsi="Century Gothic"/>
          <w:b/>
          <w:lang w:val="fr-CH"/>
        </w:rPr>
      </w:pPr>
      <w:r w:rsidRPr="00A60A5F">
        <w:rPr>
          <w:b/>
          <w:lang w:val="fr-CH"/>
        </w:rPr>
        <w:t>** Critères d’adjudication</w:t>
      </w:r>
    </w:p>
    <w:p w:rsidR="00DE0FC8" w:rsidRPr="00A60A5F" w:rsidRDefault="00DE0FC8" w:rsidP="00DE0FC8">
      <w:pPr>
        <w:jc w:val="both"/>
        <w:rPr>
          <w:rFonts w:ascii="Century Gothic" w:hAnsi="Century Gothic"/>
          <w:szCs w:val="22"/>
          <w:lang w:val="fr-CH"/>
        </w:rPr>
      </w:pPr>
      <w:r w:rsidRPr="00A60A5F">
        <w:rPr>
          <w:lang w:val="fr-CH"/>
        </w:rPr>
        <w:t>Les critères d’adjudication sont examinés uniquement si les critères d’aptitude sont remplis.</w:t>
      </w:r>
    </w:p>
    <w:p w:rsidR="00DE0FC8" w:rsidRPr="00A60A5F" w:rsidRDefault="00DE0FC8" w:rsidP="00DE0FC8">
      <w:pPr>
        <w:jc w:val="both"/>
        <w:rPr>
          <w:rFonts w:ascii="Century Gothic" w:hAnsi="Century Gothic"/>
          <w:szCs w:val="22"/>
          <w:lang w:val="fr-CH"/>
        </w:rPr>
      </w:pPr>
      <w:r w:rsidRPr="00A60A5F">
        <w:rPr>
          <w:lang w:val="fr-CH"/>
        </w:rPr>
        <w:t xml:space="preserve">Ils se réfèrent toujours au mandat : ils ont un lien direct avec ce dernier et garantissent que le marché sera attribué à l’offre la plus avantageuse d’un point de vue économique. Le prix fait donc nécessairement partie de cette catégorie de critères. A noter qu’il est interdit de définir des critères discriminatoires ou non pertinents.  </w:t>
      </w:r>
    </w:p>
    <w:p w:rsidR="00DE0FC8" w:rsidRPr="00A60A5F" w:rsidRDefault="00DE0FC8" w:rsidP="00DE0FC8">
      <w:pPr>
        <w:jc w:val="both"/>
        <w:rPr>
          <w:rFonts w:ascii="Century Gothic" w:hAnsi="Century Gothic"/>
          <w:lang w:val="fr-CH"/>
        </w:rPr>
      </w:pPr>
    </w:p>
    <w:p w:rsidR="00DE0FC8" w:rsidRPr="00A60A5F" w:rsidRDefault="00DE0FC8" w:rsidP="00DE0FC8">
      <w:pPr>
        <w:pBdr>
          <w:top w:val="single" w:sz="4" w:space="1" w:color="auto"/>
          <w:left w:val="single" w:sz="4" w:space="4" w:color="auto"/>
          <w:bottom w:val="single" w:sz="4" w:space="1" w:color="auto"/>
          <w:right w:val="single" w:sz="4" w:space="4" w:color="auto"/>
        </w:pBdr>
        <w:jc w:val="both"/>
        <w:rPr>
          <w:rFonts w:ascii="Century Gothic" w:hAnsi="Century Gothic"/>
          <w:lang w:val="fr-CH"/>
        </w:rPr>
      </w:pPr>
    </w:p>
    <w:p w:rsidR="00DE0FC8" w:rsidRPr="00A60A5F" w:rsidRDefault="00DE0FC8" w:rsidP="00DE0FC8">
      <w:pPr>
        <w:pBdr>
          <w:top w:val="single" w:sz="4" w:space="1" w:color="auto"/>
          <w:left w:val="single" w:sz="4" w:space="4" w:color="auto"/>
          <w:bottom w:val="single" w:sz="4" w:space="1" w:color="auto"/>
          <w:right w:val="single" w:sz="4" w:space="4" w:color="auto"/>
        </w:pBdr>
        <w:jc w:val="both"/>
        <w:rPr>
          <w:rFonts w:ascii="Century Gothic" w:hAnsi="Century Gothic"/>
          <w:b/>
          <w:lang w:val="fr-CH"/>
        </w:rPr>
      </w:pPr>
      <w:r w:rsidRPr="00A60A5F">
        <w:rPr>
          <w:b/>
          <w:lang w:val="fr-CH"/>
        </w:rPr>
        <w:t>Les critères d’aptitude et d’adjudication, de même que les éventuels sous-critères retenus, doivent être précisés dans l’appel d’offres. Les critères ne peuvent en aucun cas être modifiés pendant la procédure. Lorsque le prix n’est pas l’unique critère d’adjudication, la règle d’</w:t>
      </w:r>
      <w:r w:rsidR="00A60A5F" w:rsidRPr="00A60A5F">
        <w:rPr>
          <w:b/>
          <w:lang w:val="fr-CH"/>
        </w:rPr>
        <w:t>évaluation</w:t>
      </w:r>
      <w:r w:rsidRPr="00A60A5F">
        <w:rPr>
          <w:b/>
          <w:lang w:val="fr-CH"/>
        </w:rPr>
        <w:t xml:space="preserve"> du prix doit également être communiquée.</w:t>
      </w:r>
    </w:p>
    <w:p w:rsidR="00DE0FC8" w:rsidRPr="00A60A5F" w:rsidRDefault="00DE0FC8" w:rsidP="00DE0FC8">
      <w:pPr>
        <w:pBdr>
          <w:top w:val="single" w:sz="4" w:space="1" w:color="auto"/>
          <w:left w:val="single" w:sz="4" w:space="4" w:color="auto"/>
          <w:bottom w:val="single" w:sz="4" w:space="1" w:color="auto"/>
          <w:right w:val="single" w:sz="4" w:space="4" w:color="auto"/>
        </w:pBdr>
        <w:jc w:val="both"/>
        <w:rPr>
          <w:rFonts w:ascii="Century Gothic" w:hAnsi="Century Gothic"/>
          <w:lang w:val="fr-CH"/>
        </w:rPr>
      </w:pPr>
    </w:p>
    <w:p w:rsidR="00DE0FC8" w:rsidRPr="00A60A5F" w:rsidRDefault="00DE0FC8" w:rsidP="00DE0FC8">
      <w:pPr>
        <w:jc w:val="both"/>
        <w:rPr>
          <w:rFonts w:ascii="Century Gothic" w:hAnsi="Century Gothic"/>
          <w:lang w:val="fr-CH"/>
        </w:rPr>
      </w:pPr>
    </w:p>
    <w:p w:rsidR="00D07FF1" w:rsidRPr="00A60A5F" w:rsidRDefault="00D07FF1" w:rsidP="00DE0FC8">
      <w:pPr>
        <w:jc w:val="both"/>
        <w:rPr>
          <w:rFonts w:ascii="Century Gothic" w:hAnsi="Century Gothic" w:cs="Arial"/>
          <w:szCs w:val="22"/>
          <w:lang w:val="fr-CH"/>
        </w:rPr>
      </w:pPr>
    </w:p>
    <w:p w:rsidR="00DE0FC8" w:rsidRPr="00A60A5F" w:rsidRDefault="00DE0FC8" w:rsidP="00DE0FC8">
      <w:pPr>
        <w:jc w:val="both"/>
        <w:rPr>
          <w:rFonts w:ascii="Century Gothic" w:hAnsi="Century Gothic" w:cs="Arial"/>
          <w:b/>
          <w:szCs w:val="22"/>
          <w:lang w:val="fr-CH"/>
        </w:rPr>
      </w:pPr>
      <w:r w:rsidRPr="00A60A5F">
        <w:rPr>
          <w:b/>
          <w:lang w:val="fr-CH"/>
        </w:rPr>
        <w:t>Valeur-seuil</w:t>
      </w:r>
      <w:r>
        <w:rPr>
          <w:rStyle w:val="Marquenotebasdepage"/>
          <w:b/>
        </w:rPr>
        <w:footnoteReference w:id="2"/>
      </w:r>
      <w:r w:rsidRPr="00A60A5F">
        <w:rPr>
          <w:b/>
          <w:lang w:val="fr-CH"/>
        </w:rPr>
        <w:t>:</w:t>
      </w:r>
    </w:p>
    <w:p w:rsidR="00DE0FC8" w:rsidRPr="00A60A5F" w:rsidRDefault="00DE0FC8" w:rsidP="00DE0FC8">
      <w:pPr>
        <w:jc w:val="both"/>
        <w:rPr>
          <w:rFonts w:ascii="Century Gothic" w:hAnsi="Century Gothic" w:cs="Arial"/>
          <w:szCs w:val="22"/>
          <w:lang w:val="fr-CH"/>
        </w:rPr>
      </w:pPr>
      <w:r w:rsidRPr="00A60A5F">
        <w:rPr>
          <w:lang w:val="fr-CH"/>
        </w:rPr>
        <w:t xml:space="preserve">La valeur-seuil (montant hors TVA) permet de déterminer la procédure d’adjudication applicable à chaque type de marché (services et construction). </w:t>
      </w:r>
    </w:p>
    <w:p w:rsidR="00DE0FC8" w:rsidRPr="00A60A5F" w:rsidRDefault="00C71271" w:rsidP="00DE0FC8">
      <w:pPr>
        <w:jc w:val="both"/>
        <w:rPr>
          <w:rFonts w:ascii="Century Gothic" w:hAnsi="Century Gothic" w:cs="Arial"/>
          <w:szCs w:val="22"/>
          <w:lang w:val="fr-CH"/>
        </w:rPr>
      </w:pPr>
      <w:r w:rsidRPr="00A60A5F">
        <w:rPr>
          <w:rFonts w:ascii="Century Gothic" w:hAnsi="Century Gothic" w:cs="Arial"/>
          <w:szCs w:val="22"/>
          <w:lang w:val="fr-CH"/>
        </w:rPr>
        <w:br w:type="page"/>
      </w:r>
    </w:p>
    <w:p w:rsidR="00DE0FC8" w:rsidRPr="00A60A5F" w:rsidRDefault="00DE0FC8" w:rsidP="00DE0FC8">
      <w:pPr>
        <w:jc w:val="both"/>
        <w:rPr>
          <w:rFonts w:ascii="Century Gothic" w:hAnsi="Century Gothic"/>
          <w:b/>
          <w:lang w:val="fr-CH"/>
        </w:rPr>
      </w:pPr>
      <w:r w:rsidRPr="00A60A5F">
        <w:rPr>
          <w:b/>
          <w:lang w:val="fr-CH"/>
        </w:rPr>
        <w:t>Valeurs-seuils pour l’adjudication de marchés de services</w:t>
      </w:r>
    </w:p>
    <w:p w:rsidR="00961DF3" w:rsidRPr="00A60A5F" w:rsidRDefault="00961DF3" w:rsidP="00DE0FC8">
      <w:pPr>
        <w:jc w:val="both"/>
        <w:rPr>
          <w:rFonts w:ascii="Century Gothic" w:hAnsi="Century Gothic"/>
          <w:b/>
          <w:lang w:val="fr-CH"/>
        </w:rPr>
      </w:pPr>
    </w:p>
    <w:p w:rsidR="00DE0FC8" w:rsidRPr="00A60A5F" w:rsidRDefault="00DE0FC8" w:rsidP="00DE0FC8">
      <w:pPr>
        <w:tabs>
          <w:tab w:val="left" w:pos="6660"/>
        </w:tabs>
        <w:jc w:val="both"/>
        <w:rPr>
          <w:rFonts w:ascii="Century Gothic" w:hAnsi="Century Gothic"/>
          <w:b/>
          <w:lang w:val="fr-CH"/>
        </w:rPr>
      </w:pPr>
      <w:r w:rsidRPr="00A60A5F">
        <w:rPr>
          <w:b/>
          <w:lang w:val="fr-CH"/>
        </w:rPr>
        <w:t>Procédure</w:t>
      </w:r>
      <w:r w:rsidRPr="00A60A5F">
        <w:rPr>
          <w:rFonts w:ascii="Century Gothic" w:hAnsi="Century Gothic"/>
          <w:b/>
          <w:lang w:val="fr-CH"/>
        </w:rPr>
        <w:tab/>
      </w:r>
      <w:r w:rsidRPr="00A60A5F">
        <w:rPr>
          <w:b/>
          <w:lang w:val="fr-CH"/>
        </w:rPr>
        <w:t>Valeur-seuil</w:t>
      </w:r>
    </w:p>
    <w:p w:rsidR="00DE0FC8" w:rsidRPr="00A60A5F" w:rsidRDefault="00DE0FC8" w:rsidP="00DE0FC8">
      <w:pPr>
        <w:tabs>
          <w:tab w:val="right" w:pos="8460"/>
        </w:tabs>
        <w:jc w:val="both"/>
        <w:rPr>
          <w:rFonts w:ascii="Century Gothic" w:hAnsi="Century Gothic"/>
          <w:lang w:val="fr-CH"/>
        </w:rPr>
      </w:pPr>
      <w:r w:rsidRPr="00A60A5F">
        <w:rPr>
          <w:lang w:val="fr-CH"/>
        </w:rPr>
        <w:t>Procédure de gré à gré</w:t>
      </w:r>
      <w:r w:rsidRPr="00A60A5F">
        <w:rPr>
          <w:rFonts w:ascii="Century Gothic" w:hAnsi="Century Gothic"/>
          <w:lang w:val="fr-CH"/>
        </w:rPr>
        <w:tab/>
      </w:r>
      <w:r w:rsidRPr="00A60A5F">
        <w:rPr>
          <w:lang w:val="fr-CH"/>
        </w:rPr>
        <w:t>moins de CHF 100 000.-</w:t>
      </w:r>
    </w:p>
    <w:p w:rsidR="00DE0FC8" w:rsidRPr="00A60A5F" w:rsidRDefault="00DE0FC8" w:rsidP="00DE0FC8">
      <w:pPr>
        <w:tabs>
          <w:tab w:val="right" w:pos="8460"/>
        </w:tabs>
        <w:jc w:val="both"/>
        <w:rPr>
          <w:rFonts w:ascii="Century Gothic" w:hAnsi="Century Gothic"/>
          <w:lang w:val="fr-CH"/>
        </w:rPr>
      </w:pPr>
      <w:r w:rsidRPr="00A60A5F">
        <w:rPr>
          <w:lang w:val="fr-CH"/>
        </w:rPr>
        <w:t>Procédure invitant à soumissionner (critères d’aptitude)</w:t>
      </w:r>
      <w:r w:rsidRPr="00A60A5F">
        <w:rPr>
          <w:rFonts w:ascii="Century Gothic" w:hAnsi="Century Gothic"/>
          <w:lang w:val="fr-CH"/>
        </w:rPr>
        <w:tab/>
      </w:r>
      <w:r w:rsidRPr="00A60A5F">
        <w:rPr>
          <w:lang w:val="fr-CH"/>
        </w:rPr>
        <w:t>moins de CHF 200 000. -</w:t>
      </w:r>
    </w:p>
    <w:p w:rsidR="00DE0FC8" w:rsidRPr="00A60A5F" w:rsidRDefault="00DE0FC8" w:rsidP="00DE0FC8">
      <w:pPr>
        <w:tabs>
          <w:tab w:val="right" w:pos="8460"/>
        </w:tabs>
        <w:jc w:val="both"/>
        <w:rPr>
          <w:rFonts w:ascii="Century Gothic" w:hAnsi="Century Gothic"/>
          <w:lang w:val="fr-CH"/>
        </w:rPr>
      </w:pPr>
      <w:r w:rsidRPr="00A60A5F">
        <w:rPr>
          <w:lang w:val="fr-CH"/>
        </w:rPr>
        <w:t>Procédure ouverte / sélective</w:t>
      </w:r>
      <w:r w:rsidRPr="00A60A5F">
        <w:rPr>
          <w:rFonts w:ascii="Century Gothic" w:hAnsi="Century Gothic"/>
          <w:lang w:val="fr-CH"/>
        </w:rPr>
        <w:tab/>
      </w:r>
      <w:r w:rsidRPr="00A60A5F">
        <w:rPr>
          <w:lang w:val="fr-CH"/>
        </w:rPr>
        <w:t>à partir de CHF 200 000.-</w:t>
      </w:r>
    </w:p>
    <w:p w:rsidR="00023CDE" w:rsidRPr="00A60A5F" w:rsidRDefault="00023CDE" w:rsidP="00DE0FC8">
      <w:pPr>
        <w:jc w:val="both"/>
        <w:rPr>
          <w:rFonts w:ascii="Century Gothic" w:hAnsi="Century Gothic"/>
          <w:b/>
          <w:lang w:val="fr-CH"/>
        </w:rPr>
      </w:pPr>
    </w:p>
    <w:p w:rsidR="00961DF3" w:rsidRPr="00A60A5F" w:rsidRDefault="00DE0FC8" w:rsidP="00DE0FC8">
      <w:pPr>
        <w:jc w:val="both"/>
        <w:rPr>
          <w:rFonts w:ascii="Century Gothic" w:hAnsi="Century Gothic"/>
          <w:b/>
          <w:lang w:val="fr-CH"/>
        </w:rPr>
      </w:pPr>
      <w:r w:rsidRPr="00A60A5F">
        <w:rPr>
          <w:b/>
          <w:lang w:val="fr-CH"/>
        </w:rPr>
        <w:t>Valeurs-seuils pour l’adjudication de marchés de construction</w:t>
      </w:r>
    </w:p>
    <w:p w:rsidR="00DE0FC8" w:rsidRPr="00194980" w:rsidRDefault="00DE0FC8" w:rsidP="00DE0FC8">
      <w:pPr>
        <w:tabs>
          <w:tab w:val="left" w:pos="6660"/>
        </w:tabs>
        <w:jc w:val="both"/>
        <w:rPr>
          <w:rFonts w:ascii="Century Gothic" w:hAnsi="Century Gothic"/>
          <w:b/>
        </w:rPr>
      </w:pPr>
      <w:r>
        <w:rPr>
          <w:b/>
        </w:rPr>
        <w:t>Procédure</w:t>
      </w:r>
      <w:r w:rsidRPr="00194980">
        <w:rPr>
          <w:rFonts w:ascii="Century Gothic" w:hAnsi="Century Gothic"/>
          <w:b/>
        </w:rPr>
        <w:tab/>
      </w:r>
      <w:r>
        <w:rPr>
          <w:b/>
        </w:rPr>
        <w:t>Valeur-seuil</w:t>
      </w:r>
    </w:p>
    <w:p w:rsidR="00DE0FC8" w:rsidRPr="00A60A5F" w:rsidRDefault="00A60A5F" w:rsidP="00DE0FC8">
      <w:pPr>
        <w:tabs>
          <w:tab w:val="right" w:pos="8460"/>
        </w:tabs>
        <w:jc w:val="both"/>
        <w:rPr>
          <w:rFonts w:ascii="Century Gothic" w:hAnsi="Century Gothic"/>
          <w:lang w:val="fr-CH"/>
        </w:rPr>
      </w:pPr>
      <w:r w:rsidRPr="00A60A5F">
        <w:rPr>
          <w:lang w:val="fr-CH"/>
        </w:rPr>
        <w:t>Procédure de gré à gré</w:t>
      </w:r>
      <w:r w:rsidR="001B7AC2" w:rsidRPr="00A60A5F">
        <w:rPr>
          <w:rFonts w:ascii="Century Gothic" w:hAnsi="Century Gothic"/>
          <w:lang w:val="fr-CH"/>
        </w:rPr>
        <w:tab/>
      </w:r>
      <w:r w:rsidRPr="00A60A5F">
        <w:rPr>
          <w:lang w:val="fr-CH"/>
        </w:rPr>
        <w:t>moins de CHF 100 000.-</w:t>
      </w:r>
    </w:p>
    <w:p w:rsidR="00DE0FC8" w:rsidRPr="00A60A5F" w:rsidRDefault="00A60A5F" w:rsidP="00DE0FC8">
      <w:pPr>
        <w:tabs>
          <w:tab w:val="right" w:pos="8460"/>
        </w:tabs>
        <w:jc w:val="both"/>
        <w:rPr>
          <w:rFonts w:ascii="Century Gothic" w:hAnsi="Century Gothic"/>
          <w:lang w:val="fr-CH"/>
        </w:rPr>
      </w:pPr>
      <w:r w:rsidRPr="00A60A5F">
        <w:rPr>
          <w:lang w:val="fr-CH"/>
        </w:rPr>
        <w:t>Procédure invitant à soumissionner (critères d’aptitude)</w:t>
      </w:r>
      <w:r w:rsidR="00DE0FC8" w:rsidRPr="00A60A5F">
        <w:rPr>
          <w:rFonts w:ascii="Century Gothic" w:hAnsi="Century Gothic"/>
          <w:lang w:val="fr-CH"/>
        </w:rPr>
        <w:tab/>
      </w:r>
      <w:r w:rsidR="00DE0FC8" w:rsidRPr="00A60A5F">
        <w:rPr>
          <w:lang w:val="fr-CH"/>
        </w:rPr>
        <w:t>moins de CHF 1 500 000.-</w:t>
      </w:r>
    </w:p>
    <w:p w:rsidR="00DE0FC8" w:rsidRPr="00A60A5F" w:rsidRDefault="00A60A5F" w:rsidP="00DE0FC8">
      <w:pPr>
        <w:tabs>
          <w:tab w:val="right" w:pos="8460"/>
        </w:tabs>
        <w:jc w:val="both"/>
        <w:rPr>
          <w:rFonts w:ascii="Century Gothic" w:hAnsi="Century Gothic"/>
          <w:lang w:val="fr-CH"/>
        </w:rPr>
      </w:pPr>
      <w:r w:rsidRPr="00A60A5F">
        <w:rPr>
          <w:lang w:val="fr-CH"/>
        </w:rPr>
        <w:t>Procédure ouverte / sélective</w:t>
      </w:r>
      <w:r w:rsidR="00DE0FC8" w:rsidRPr="00A60A5F">
        <w:rPr>
          <w:rFonts w:ascii="Century Gothic" w:hAnsi="Century Gothic"/>
          <w:lang w:val="fr-CH"/>
        </w:rPr>
        <w:tab/>
      </w:r>
      <w:r w:rsidR="00DE0FC8" w:rsidRPr="00A60A5F">
        <w:rPr>
          <w:lang w:val="fr-CH"/>
        </w:rPr>
        <w:t>à partir de CHF 1 500 000.-</w:t>
      </w:r>
    </w:p>
    <w:p w:rsidR="00D14F2F" w:rsidRPr="00A60A5F" w:rsidRDefault="00D14F2F" w:rsidP="00DE0FC8">
      <w:pPr>
        <w:jc w:val="both"/>
        <w:rPr>
          <w:rFonts w:ascii="Century Gothic" w:hAnsi="Century Gothic"/>
          <w:lang w:val="fr-CH"/>
        </w:rPr>
      </w:pPr>
    </w:p>
    <w:p w:rsidR="00DE0FC8" w:rsidRPr="00A60A5F" w:rsidRDefault="00DE0FC8" w:rsidP="00DE0FC8">
      <w:pPr>
        <w:jc w:val="both"/>
        <w:rPr>
          <w:rFonts w:ascii="Century Gothic" w:hAnsi="Century Gothic"/>
          <w:b/>
          <w:lang w:val="fr-CH"/>
        </w:rPr>
      </w:pPr>
      <w:r w:rsidRPr="00A60A5F">
        <w:rPr>
          <w:b/>
          <w:lang w:val="fr-CH"/>
        </w:rPr>
        <w:t>Prestations</w:t>
      </w:r>
    </w:p>
    <w:p w:rsidR="00DE0FC8" w:rsidRPr="00A60A5F" w:rsidRDefault="00DE0FC8" w:rsidP="00DE0FC8">
      <w:pPr>
        <w:jc w:val="both"/>
        <w:rPr>
          <w:rFonts w:ascii="Century Gothic" w:hAnsi="Century Gothic"/>
          <w:lang w:val="fr-CH"/>
        </w:rPr>
      </w:pPr>
      <w:r w:rsidRPr="00A60A5F">
        <w:rPr>
          <w:lang w:val="fr-CH"/>
        </w:rPr>
        <w:t>Mandats portant sur la prestation de services (architecture, ingénierie, supervision de travaux, etc.)</w:t>
      </w:r>
    </w:p>
    <w:p w:rsidR="00DE0FC8" w:rsidRPr="00A60A5F" w:rsidRDefault="00DE0FC8" w:rsidP="00DE0FC8">
      <w:pPr>
        <w:jc w:val="both"/>
        <w:rPr>
          <w:rFonts w:ascii="Century Gothic" w:hAnsi="Century Gothic"/>
          <w:b/>
          <w:lang w:val="fr-CH"/>
        </w:rPr>
      </w:pPr>
    </w:p>
    <w:p w:rsidR="00DE0FC8" w:rsidRPr="00A60A5F" w:rsidRDefault="00DE0FC8" w:rsidP="00DE0FC8">
      <w:pPr>
        <w:jc w:val="both"/>
        <w:rPr>
          <w:rFonts w:ascii="Century Gothic" w:hAnsi="Century Gothic"/>
          <w:b/>
          <w:lang w:val="fr-CH"/>
        </w:rPr>
      </w:pPr>
      <w:r w:rsidRPr="00A60A5F">
        <w:rPr>
          <w:b/>
          <w:lang w:val="fr-CH"/>
        </w:rPr>
        <w:t>Critères d’aptitude envisageables pour des marchés de services</w:t>
      </w:r>
    </w:p>
    <w:p w:rsidR="00DE0FC8" w:rsidRPr="00A60A5F" w:rsidRDefault="00DE0FC8" w:rsidP="00DE0FC8">
      <w:pPr>
        <w:jc w:val="both"/>
        <w:rPr>
          <w:rFonts w:ascii="Century Gothic" w:hAnsi="Century Gothic"/>
          <w:lang w:val="fr-CH"/>
        </w:rPr>
      </w:pPr>
      <w:r w:rsidRPr="00A60A5F">
        <w:rPr>
          <w:lang w:val="fr-CH"/>
        </w:rPr>
        <w:t>Compétence de l’entreprise dans le domaine visé</w:t>
      </w:r>
    </w:p>
    <w:p w:rsidR="00DE0FC8" w:rsidRPr="00A60A5F" w:rsidRDefault="00DE0FC8" w:rsidP="00DE0FC8">
      <w:pPr>
        <w:tabs>
          <w:tab w:val="left" w:pos="6840"/>
          <w:tab w:val="right" w:pos="8460"/>
        </w:tabs>
        <w:jc w:val="both"/>
        <w:rPr>
          <w:rFonts w:ascii="Century Gothic" w:hAnsi="Century Gothic"/>
          <w:szCs w:val="22"/>
          <w:lang w:val="fr-CH"/>
        </w:rPr>
      </w:pPr>
      <w:r w:rsidRPr="00A60A5F">
        <w:rPr>
          <w:lang w:val="fr-CH"/>
        </w:rPr>
        <w:t>Références de la direction du projet</w:t>
      </w:r>
      <w:r w:rsidRPr="00A60A5F">
        <w:rPr>
          <w:rFonts w:ascii="Century Gothic" w:hAnsi="Century Gothic"/>
          <w:szCs w:val="22"/>
          <w:lang w:val="fr-CH"/>
        </w:rPr>
        <w:tab/>
      </w:r>
    </w:p>
    <w:p w:rsidR="00DE0FC8" w:rsidRPr="00A60A5F" w:rsidRDefault="00DE0FC8" w:rsidP="00DE0FC8">
      <w:pPr>
        <w:jc w:val="both"/>
        <w:rPr>
          <w:rFonts w:ascii="Century Gothic" w:hAnsi="Century Gothic"/>
          <w:szCs w:val="22"/>
          <w:lang w:val="fr-CH"/>
        </w:rPr>
      </w:pPr>
      <w:r w:rsidRPr="00A60A5F">
        <w:rPr>
          <w:lang w:val="fr-CH"/>
        </w:rPr>
        <w:t>Gestion de la qualité au sein de l’entreprise</w:t>
      </w:r>
    </w:p>
    <w:p w:rsidR="00DE0FC8" w:rsidRPr="00A60A5F" w:rsidRDefault="00DE0FC8" w:rsidP="00DE0FC8">
      <w:pPr>
        <w:jc w:val="both"/>
        <w:rPr>
          <w:rFonts w:ascii="Century Gothic" w:hAnsi="Century Gothic"/>
          <w:szCs w:val="22"/>
          <w:lang w:val="fr-CH"/>
        </w:rPr>
      </w:pPr>
      <w:r w:rsidRPr="00A60A5F">
        <w:rPr>
          <w:lang w:val="fr-CH"/>
        </w:rPr>
        <w:t>Egalité de traitement entre hommes et femmes</w:t>
      </w:r>
    </w:p>
    <w:p w:rsidR="00DE0FC8" w:rsidRPr="00B7071C" w:rsidRDefault="00DE0FC8" w:rsidP="00DE0FC8">
      <w:pPr>
        <w:jc w:val="both"/>
        <w:rPr>
          <w:rFonts w:ascii="Century Gothic" w:hAnsi="Century Gothic"/>
          <w:b/>
          <w:i/>
        </w:rPr>
      </w:pPr>
      <w:r>
        <w:rPr>
          <w:b/>
          <w:i/>
        </w:rPr>
        <w:t>Remarques :</w:t>
      </w:r>
    </w:p>
    <w:p w:rsidR="00DE0FC8" w:rsidRPr="00A60A5F" w:rsidRDefault="00DE0FC8" w:rsidP="00DE0FC8">
      <w:pPr>
        <w:numPr>
          <w:ilvl w:val="0"/>
          <w:numId w:val="7"/>
        </w:numPr>
        <w:jc w:val="both"/>
        <w:rPr>
          <w:rFonts w:ascii="Century Gothic" w:hAnsi="Century Gothic"/>
          <w:b/>
          <w:i/>
          <w:lang w:val="fr-CH"/>
        </w:rPr>
      </w:pPr>
      <w:r w:rsidRPr="00A60A5F">
        <w:rPr>
          <w:b/>
          <w:i/>
          <w:lang w:val="fr-CH"/>
        </w:rPr>
        <w:t>Tous les critères d’aptitude doivent être remplis.</w:t>
      </w:r>
    </w:p>
    <w:p w:rsidR="00DE0FC8" w:rsidRPr="00A60A5F" w:rsidRDefault="00DE0FC8" w:rsidP="00DE0FC8">
      <w:pPr>
        <w:numPr>
          <w:ilvl w:val="0"/>
          <w:numId w:val="7"/>
        </w:numPr>
        <w:jc w:val="both"/>
        <w:rPr>
          <w:rFonts w:ascii="Century Gothic" w:hAnsi="Century Gothic"/>
          <w:b/>
          <w:i/>
          <w:lang w:val="fr-CH"/>
        </w:rPr>
      </w:pPr>
      <w:r w:rsidRPr="00A60A5F">
        <w:rPr>
          <w:b/>
          <w:i/>
          <w:lang w:val="fr-CH"/>
        </w:rPr>
        <w:t>La liste peut être adaptée en fonction des circonstances particulières.</w:t>
      </w:r>
    </w:p>
    <w:p w:rsidR="00DE0FC8" w:rsidRPr="00A60A5F" w:rsidRDefault="00DE0FC8" w:rsidP="00DE0FC8">
      <w:pPr>
        <w:jc w:val="both"/>
        <w:rPr>
          <w:rFonts w:ascii="Century Gothic" w:hAnsi="Century Gothic"/>
          <w:lang w:val="fr-CH"/>
        </w:rPr>
      </w:pPr>
    </w:p>
    <w:p w:rsidR="00DE0FC8" w:rsidRPr="00A60A5F" w:rsidRDefault="00DE0FC8" w:rsidP="00DE0FC8">
      <w:pPr>
        <w:jc w:val="both"/>
        <w:rPr>
          <w:rFonts w:ascii="Century Gothic" w:hAnsi="Century Gothic"/>
          <w:b/>
          <w:lang w:val="fr-CH"/>
        </w:rPr>
      </w:pPr>
      <w:r w:rsidRPr="00A60A5F">
        <w:rPr>
          <w:b/>
          <w:lang w:val="fr-CH"/>
        </w:rPr>
        <w:t>Pondération possible des critères d’adjudication applicables aux mandats de services</w:t>
      </w:r>
      <w:r w:rsidR="00A60A5F">
        <w:rPr>
          <w:b/>
          <w:lang w:val="fr-CH"/>
        </w:rPr>
        <w:t> </w:t>
      </w:r>
      <w:r w:rsidRPr="00A60A5F">
        <w:rPr>
          <w:b/>
          <w:lang w:val="fr-CH"/>
        </w:rPr>
        <w:t xml:space="preserve">: </w:t>
      </w:r>
    </w:p>
    <w:p w:rsidR="00DE0FC8" w:rsidRPr="00A60A5F" w:rsidRDefault="00DE0FC8" w:rsidP="00DE0FC8">
      <w:pPr>
        <w:tabs>
          <w:tab w:val="right" w:pos="6840"/>
          <w:tab w:val="right" w:pos="8460"/>
        </w:tabs>
        <w:jc w:val="both"/>
        <w:rPr>
          <w:rFonts w:ascii="Century Gothic" w:hAnsi="Century Gothic"/>
          <w:lang w:val="fr-CH"/>
        </w:rPr>
      </w:pPr>
      <w:r w:rsidRPr="00A60A5F">
        <w:rPr>
          <w:lang w:val="fr-CH"/>
        </w:rPr>
        <w:t>Offre / prix</w:t>
      </w:r>
      <w:r w:rsidRPr="00A60A5F">
        <w:rPr>
          <w:rFonts w:ascii="Century Gothic" w:hAnsi="Century Gothic"/>
          <w:lang w:val="fr-CH"/>
        </w:rPr>
        <w:tab/>
      </w:r>
      <w:r w:rsidRPr="00A60A5F">
        <w:rPr>
          <w:lang w:val="fr-CH"/>
        </w:rPr>
        <w:t>%</w:t>
      </w:r>
      <w:r w:rsidRPr="00A60A5F">
        <w:rPr>
          <w:rFonts w:ascii="Century Gothic" w:hAnsi="Century Gothic"/>
          <w:lang w:val="fr-CH"/>
        </w:rPr>
        <w:tab/>
      </w:r>
      <w:r w:rsidRPr="00A60A5F">
        <w:rPr>
          <w:lang w:val="fr-CH"/>
        </w:rPr>
        <w:t>50</w:t>
      </w:r>
    </w:p>
    <w:p w:rsidR="00DE0FC8" w:rsidRPr="00A60A5F" w:rsidRDefault="00DE0FC8" w:rsidP="00DE0FC8">
      <w:pPr>
        <w:tabs>
          <w:tab w:val="right" w:pos="6840"/>
          <w:tab w:val="right" w:pos="8460"/>
        </w:tabs>
        <w:jc w:val="both"/>
        <w:rPr>
          <w:rFonts w:ascii="Century Gothic" w:hAnsi="Century Gothic"/>
          <w:lang w:val="fr-CH"/>
        </w:rPr>
      </w:pPr>
      <w:r w:rsidRPr="00A60A5F">
        <w:rPr>
          <w:lang w:val="fr-CH"/>
        </w:rPr>
        <w:t>Références générales de l’entreprise</w:t>
      </w:r>
      <w:r w:rsidRPr="00A60A5F">
        <w:rPr>
          <w:rFonts w:ascii="Century Gothic" w:hAnsi="Century Gothic"/>
          <w:lang w:val="fr-CH"/>
        </w:rPr>
        <w:tab/>
      </w:r>
      <w:r w:rsidRPr="00A60A5F">
        <w:rPr>
          <w:lang w:val="fr-CH"/>
        </w:rPr>
        <w:t>%</w:t>
      </w:r>
      <w:r w:rsidRPr="00A60A5F">
        <w:rPr>
          <w:rFonts w:ascii="Century Gothic" w:hAnsi="Century Gothic"/>
          <w:lang w:val="fr-CH"/>
        </w:rPr>
        <w:tab/>
      </w:r>
      <w:r w:rsidRPr="00A60A5F">
        <w:rPr>
          <w:lang w:val="fr-CH"/>
        </w:rPr>
        <w:t>10</w:t>
      </w:r>
    </w:p>
    <w:p w:rsidR="00DE0FC8" w:rsidRPr="00A60A5F" w:rsidRDefault="00DE0FC8" w:rsidP="00DE0FC8">
      <w:pPr>
        <w:tabs>
          <w:tab w:val="right" w:pos="6840"/>
          <w:tab w:val="right" w:pos="8460"/>
        </w:tabs>
        <w:jc w:val="both"/>
        <w:rPr>
          <w:rFonts w:ascii="Century Gothic" w:hAnsi="Century Gothic"/>
          <w:lang w:val="fr-CH"/>
        </w:rPr>
      </w:pPr>
      <w:r w:rsidRPr="00A60A5F">
        <w:rPr>
          <w:lang w:val="fr-CH"/>
        </w:rPr>
        <w:t>Formation de la direction du projet</w:t>
      </w:r>
      <w:r w:rsidRPr="00A60A5F">
        <w:rPr>
          <w:rFonts w:ascii="Century Gothic" w:hAnsi="Century Gothic"/>
          <w:lang w:val="fr-CH"/>
        </w:rPr>
        <w:tab/>
      </w:r>
      <w:r w:rsidRPr="00A60A5F">
        <w:rPr>
          <w:lang w:val="fr-CH"/>
        </w:rPr>
        <w:t>%</w:t>
      </w:r>
      <w:r w:rsidRPr="00A60A5F">
        <w:rPr>
          <w:rFonts w:ascii="Century Gothic" w:hAnsi="Century Gothic"/>
          <w:lang w:val="fr-CH"/>
        </w:rPr>
        <w:tab/>
      </w:r>
      <w:r w:rsidRPr="00A60A5F">
        <w:rPr>
          <w:lang w:val="fr-CH"/>
        </w:rPr>
        <w:t>10</w:t>
      </w:r>
    </w:p>
    <w:p w:rsidR="00DE0FC8" w:rsidRPr="00A60A5F" w:rsidRDefault="00DE0FC8" w:rsidP="00DE0FC8">
      <w:pPr>
        <w:tabs>
          <w:tab w:val="right" w:pos="6840"/>
          <w:tab w:val="right" w:pos="8460"/>
        </w:tabs>
        <w:jc w:val="both"/>
        <w:rPr>
          <w:rFonts w:ascii="Century Gothic" w:hAnsi="Century Gothic"/>
          <w:lang w:val="fr-CH"/>
        </w:rPr>
      </w:pPr>
      <w:r w:rsidRPr="00A60A5F">
        <w:rPr>
          <w:lang w:val="fr-CH"/>
        </w:rPr>
        <w:t>Références spécifiques</w:t>
      </w:r>
      <w:r w:rsidRPr="00A60A5F">
        <w:rPr>
          <w:rFonts w:ascii="Century Gothic" w:hAnsi="Century Gothic"/>
          <w:lang w:val="fr-CH"/>
        </w:rPr>
        <w:tab/>
      </w:r>
      <w:r w:rsidRPr="00A60A5F">
        <w:rPr>
          <w:lang w:val="fr-CH"/>
        </w:rPr>
        <w:t>%</w:t>
      </w:r>
      <w:r w:rsidRPr="00A60A5F">
        <w:rPr>
          <w:rFonts w:ascii="Century Gothic" w:hAnsi="Century Gothic"/>
          <w:lang w:val="fr-CH"/>
        </w:rPr>
        <w:tab/>
      </w:r>
      <w:r w:rsidRPr="00A60A5F">
        <w:rPr>
          <w:lang w:val="fr-CH"/>
        </w:rPr>
        <w:t>15</w:t>
      </w:r>
    </w:p>
    <w:p w:rsidR="00DE0FC8" w:rsidRPr="00A60A5F" w:rsidRDefault="00DE0FC8" w:rsidP="00DE0FC8">
      <w:pPr>
        <w:tabs>
          <w:tab w:val="right" w:pos="6840"/>
          <w:tab w:val="right" w:pos="8460"/>
        </w:tabs>
        <w:jc w:val="both"/>
        <w:rPr>
          <w:rFonts w:ascii="Century Gothic" w:hAnsi="Century Gothic"/>
          <w:lang w:val="fr-CH"/>
        </w:rPr>
      </w:pPr>
      <w:r w:rsidRPr="00A60A5F">
        <w:rPr>
          <w:lang w:val="fr-CH"/>
        </w:rPr>
        <w:t>Possibilité d’employer une main-d’œuvre locale</w:t>
      </w:r>
      <w:r w:rsidRPr="00A60A5F">
        <w:rPr>
          <w:rFonts w:ascii="Century Gothic" w:hAnsi="Century Gothic"/>
          <w:lang w:val="fr-CH"/>
        </w:rPr>
        <w:tab/>
      </w:r>
      <w:r w:rsidRPr="00A60A5F">
        <w:rPr>
          <w:lang w:val="fr-CH"/>
        </w:rPr>
        <w:t>%</w:t>
      </w:r>
      <w:r w:rsidRPr="00A60A5F">
        <w:rPr>
          <w:rFonts w:ascii="Century Gothic" w:hAnsi="Century Gothic"/>
          <w:lang w:val="fr-CH"/>
        </w:rPr>
        <w:tab/>
      </w:r>
      <w:r w:rsidRPr="00A60A5F">
        <w:rPr>
          <w:lang w:val="fr-CH"/>
        </w:rPr>
        <w:t>15</w:t>
      </w:r>
    </w:p>
    <w:p w:rsidR="00DE0FC8" w:rsidRPr="00B7071C" w:rsidRDefault="00DE0FC8" w:rsidP="00DE0FC8">
      <w:pPr>
        <w:jc w:val="both"/>
        <w:rPr>
          <w:rFonts w:ascii="Century Gothic" w:hAnsi="Century Gothic"/>
          <w:b/>
          <w:i/>
        </w:rPr>
      </w:pPr>
      <w:r>
        <w:rPr>
          <w:b/>
          <w:i/>
        </w:rPr>
        <w:t xml:space="preserve">Remarques : </w:t>
      </w:r>
    </w:p>
    <w:p w:rsidR="00DE0FC8" w:rsidRPr="00A60A5F" w:rsidRDefault="00DE0FC8" w:rsidP="00DE0FC8">
      <w:pPr>
        <w:numPr>
          <w:ilvl w:val="0"/>
          <w:numId w:val="7"/>
        </w:numPr>
        <w:jc w:val="both"/>
        <w:rPr>
          <w:rFonts w:ascii="Century Gothic" w:hAnsi="Century Gothic"/>
          <w:b/>
          <w:i/>
          <w:lang w:val="fr-CH"/>
        </w:rPr>
      </w:pPr>
      <w:r w:rsidRPr="00A60A5F">
        <w:rPr>
          <w:b/>
          <w:i/>
          <w:lang w:val="fr-CH"/>
        </w:rPr>
        <w:t>La liste peut être adaptée en fonction des circonstances particulières.</w:t>
      </w:r>
    </w:p>
    <w:p w:rsidR="00DE0FC8" w:rsidRPr="00A60A5F" w:rsidRDefault="00DE0FC8" w:rsidP="00DE0FC8">
      <w:pPr>
        <w:numPr>
          <w:ilvl w:val="0"/>
          <w:numId w:val="7"/>
        </w:numPr>
        <w:jc w:val="both"/>
        <w:rPr>
          <w:rFonts w:ascii="Century Gothic" w:hAnsi="Century Gothic"/>
          <w:b/>
          <w:i/>
          <w:lang w:val="fr-CH"/>
        </w:rPr>
      </w:pPr>
      <w:r w:rsidRPr="00A60A5F">
        <w:rPr>
          <w:b/>
          <w:i/>
          <w:lang w:val="fr-CH"/>
        </w:rPr>
        <w:t>La pondération des critères doit être adaptée aux circonstances.</w:t>
      </w:r>
    </w:p>
    <w:p w:rsidR="00DE0FC8" w:rsidRPr="00A60A5F" w:rsidRDefault="00DE0FC8" w:rsidP="00DE0FC8">
      <w:pPr>
        <w:jc w:val="both"/>
        <w:rPr>
          <w:rFonts w:ascii="Century Gothic" w:hAnsi="Century Gothic" w:cs="Arial"/>
          <w:szCs w:val="22"/>
          <w:lang w:val="fr-CH"/>
        </w:rPr>
      </w:pPr>
    </w:p>
    <w:p w:rsidR="00DE0FC8" w:rsidRPr="00A60A5F" w:rsidRDefault="00DE0FC8" w:rsidP="00DE0FC8">
      <w:pPr>
        <w:pBdr>
          <w:top w:val="single" w:sz="4" w:space="1" w:color="auto"/>
          <w:left w:val="single" w:sz="4" w:space="4" w:color="auto"/>
          <w:bottom w:val="single" w:sz="4" w:space="1" w:color="auto"/>
          <w:right w:val="single" w:sz="4" w:space="4" w:color="auto"/>
        </w:pBdr>
        <w:jc w:val="both"/>
        <w:rPr>
          <w:rFonts w:ascii="Century Gothic" w:hAnsi="Century Gothic" w:cs="Arial"/>
          <w:szCs w:val="22"/>
          <w:lang w:val="fr-CH"/>
        </w:rPr>
      </w:pPr>
    </w:p>
    <w:p w:rsidR="00DE0FC8" w:rsidRPr="00A60A5F" w:rsidRDefault="00DE0FC8" w:rsidP="00DE0FC8">
      <w:pPr>
        <w:pBdr>
          <w:top w:val="single" w:sz="4" w:space="1" w:color="auto"/>
          <w:left w:val="single" w:sz="4" w:space="4" w:color="auto"/>
          <w:bottom w:val="single" w:sz="4" w:space="1" w:color="auto"/>
          <w:right w:val="single" w:sz="4" w:space="4" w:color="auto"/>
        </w:pBdr>
        <w:jc w:val="both"/>
        <w:rPr>
          <w:rFonts w:ascii="Century Gothic" w:hAnsi="Century Gothic"/>
          <w:b/>
          <w:lang w:val="fr-CH"/>
        </w:rPr>
      </w:pPr>
      <w:r w:rsidRPr="00A60A5F">
        <w:rPr>
          <w:b/>
          <w:lang w:val="fr-CH"/>
        </w:rPr>
        <w:t>Evaluation</w:t>
      </w:r>
      <w:r>
        <w:rPr>
          <w:rStyle w:val="Marquenotebasdepage"/>
          <w:b/>
        </w:rPr>
        <w:footnoteReference w:id="3"/>
      </w:r>
      <w:r w:rsidRPr="00A60A5F">
        <w:rPr>
          <w:b/>
          <w:lang w:val="fr-CH"/>
        </w:rPr>
        <w:t> :</w:t>
      </w:r>
    </w:p>
    <w:p w:rsidR="00DE0FC8" w:rsidRPr="00A60A5F" w:rsidRDefault="00DE0FC8" w:rsidP="00DE0FC8">
      <w:pPr>
        <w:pBdr>
          <w:top w:val="single" w:sz="4" w:space="1" w:color="auto"/>
          <w:left w:val="single" w:sz="4" w:space="4" w:color="auto"/>
          <w:bottom w:val="single" w:sz="4" w:space="1" w:color="auto"/>
          <w:right w:val="single" w:sz="4" w:space="4" w:color="auto"/>
        </w:pBdr>
        <w:jc w:val="both"/>
        <w:rPr>
          <w:rFonts w:ascii="Century Gothic" w:hAnsi="Century Gothic"/>
          <w:lang w:val="fr-CH"/>
        </w:rPr>
      </w:pPr>
      <w:r w:rsidRPr="00A60A5F">
        <w:rPr>
          <w:lang w:val="fr-CH"/>
        </w:rPr>
        <w:t xml:space="preserve">Les cinq critères d’adjudication sont évalués à l’aide de points de 1 à 5. </w:t>
      </w:r>
    </w:p>
    <w:p w:rsidR="00DE0FC8" w:rsidRPr="00A60A5F" w:rsidRDefault="00DE0FC8" w:rsidP="00DE0FC8">
      <w:pPr>
        <w:pBdr>
          <w:top w:val="single" w:sz="4" w:space="1" w:color="auto"/>
          <w:left w:val="single" w:sz="4" w:space="4" w:color="auto"/>
          <w:bottom w:val="single" w:sz="4" w:space="1" w:color="auto"/>
          <w:right w:val="single" w:sz="4" w:space="4" w:color="auto"/>
        </w:pBdr>
        <w:jc w:val="both"/>
        <w:rPr>
          <w:rFonts w:ascii="Century Gothic" w:hAnsi="Century Gothic"/>
          <w:lang w:val="fr-CH"/>
        </w:rPr>
      </w:pPr>
      <w:r w:rsidRPr="00A60A5F">
        <w:rPr>
          <w:lang w:val="fr-CH"/>
        </w:rPr>
        <w:t>Le prix est apprécié à l’aide de la formule linéaire suivante :</w:t>
      </w:r>
    </w:p>
    <w:p w:rsidR="00DE0FC8" w:rsidRPr="00A60A5F" w:rsidRDefault="00DE0FC8" w:rsidP="00DE0FC8">
      <w:pPr>
        <w:pBdr>
          <w:top w:val="single" w:sz="4" w:space="1" w:color="auto"/>
          <w:left w:val="single" w:sz="4" w:space="4" w:color="auto"/>
          <w:bottom w:val="single" w:sz="4" w:space="1" w:color="auto"/>
          <w:right w:val="single" w:sz="4" w:space="4" w:color="auto"/>
        </w:pBdr>
        <w:jc w:val="both"/>
        <w:rPr>
          <w:rFonts w:ascii="Century Gothic" w:hAnsi="Century Gothic"/>
          <w:lang w:val="fr-CH"/>
        </w:rPr>
      </w:pPr>
      <w:r w:rsidRPr="00A60A5F">
        <w:rPr>
          <w:lang w:val="fr-CH"/>
        </w:rPr>
        <w:t>Offre au prix le plus bas. 5 points</w:t>
      </w:r>
    </w:p>
    <w:p w:rsidR="00DE0FC8" w:rsidRPr="00A60A5F" w:rsidRDefault="00DE0FC8" w:rsidP="00DE0FC8">
      <w:pPr>
        <w:pBdr>
          <w:top w:val="single" w:sz="4" w:space="1" w:color="auto"/>
          <w:left w:val="single" w:sz="4" w:space="4" w:color="auto"/>
          <w:bottom w:val="single" w:sz="4" w:space="1" w:color="auto"/>
          <w:right w:val="single" w:sz="4" w:space="4" w:color="auto"/>
        </w:pBdr>
        <w:jc w:val="both"/>
        <w:rPr>
          <w:rFonts w:ascii="Century Gothic" w:hAnsi="Century Gothic"/>
          <w:lang w:val="fr-CH"/>
        </w:rPr>
      </w:pPr>
      <w:r w:rsidRPr="00A60A5F">
        <w:rPr>
          <w:lang w:val="fr-CH"/>
        </w:rPr>
        <w:t>Par pourcentage d’écart de prix : déduction de 0,1 point</w:t>
      </w:r>
    </w:p>
    <w:p w:rsidR="00DE0FC8" w:rsidRPr="00A60A5F" w:rsidRDefault="00DE0FC8" w:rsidP="00DE0FC8">
      <w:pPr>
        <w:pBdr>
          <w:top w:val="single" w:sz="4" w:space="1" w:color="auto"/>
          <w:left w:val="single" w:sz="4" w:space="4" w:color="auto"/>
          <w:bottom w:val="single" w:sz="4" w:space="1" w:color="auto"/>
          <w:right w:val="single" w:sz="4" w:space="4" w:color="auto"/>
        </w:pBdr>
        <w:jc w:val="both"/>
        <w:rPr>
          <w:rFonts w:ascii="Century Gothic" w:hAnsi="Century Gothic" w:cs="Arial"/>
          <w:szCs w:val="22"/>
          <w:lang w:val="fr-CH"/>
        </w:rPr>
      </w:pPr>
      <w:r w:rsidRPr="00A60A5F">
        <w:rPr>
          <w:lang w:val="fr-CH"/>
        </w:rPr>
        <w:t>En cas d’écart de prix de 40% et plus : déduction de 4 points</w:t>
      </w:r>
    </w:p>
    <w:p w:rsidR="00DE0FC8" w:rsidRPr="00A60A5F" w:rsidRDefault="00DE0FC8" w:rsidP="00DE0FC8">
      <w:pPr>
        <w:pBdr>
          <w:top w:val="single" w:sz="4" w:space="1" w:color="auto"/>
          <w:left w:val="single" w:sz="4" w:space="4" w:color="auto"/>
          <w:bottom w:val="single" w:sz="4" w:space="1" w:color="auto"/>
          <w:right w:val="single" w:sz="4" w:space="4" w:color="auto"/>
        </w:pBdr>
        <w:jc w:val="both"/>
        <w:rPr>
          <w:rFonts w:ascii="Century Gothic" w:hAnsi="Century Gothic" w:cs="Arial"/>
          <w:szCs w:val="22"/>
          <w:lang w:val="fr-CH"/>
        </w:rPr>
      </w:pPr>
      <w:r w:rsidRPr="00A60A5F">
        <w:rPr>
          <w:b/>
          <w:lang w:val="fr-CH"/>
        </w:rPr>
        <w:t>Echelle de notation pour les autres critères d’adjudication</w:t>
      </w:r>
    </w:p>
    <w:p w:rsidR="00DE0FC8" w:rsidRPr="00A60A5F" w:rsidRDefault="00DE0FC8" w:rsidP="00DE0FC8">
      <w:pPr>
        <w:pBdr>
          <w:top w:val="single" w:sz="4" w:space="1" w:color="auto"/>
          <w:left w:val="single" w:sz="4" w:space="4" w:color="auto"/>
          <w:bottom w:val="single" w:sz="4" w:space="1" w:color="auto"/>
          <w:right w:val="single" w:sz="4" w:space="4" w:color="auto"/>
        </w:pBdr>
        <w:jc w:val="both"/>
        <w:rPr>
          <w:rFonts w:ascii="Century Gothic" w:hAnsi="Century Gothic" w:cs="Arial"/>
          <w:szCs w:val="22"/>
          <w:lang w:val="fr-CH"/>
        </w:rPr>
      </w:pPr>
      <w:r w:rsidRPr="00A60A5F">
        <w:rPr>
          <w:lang w:val="fr-CH"/>
        </w:rPr>
        <w:t>5 = excellent, dépasse largement les exigences, innovant</w:t>
      </w:r>
    </w:p>
    <w:p w:rsidR="00DE0FC8" w:rsidRPr="00A60A5F" w:rsidRDefault="00DE0FC8" w:rsidP="00DE0FC8">
      <w:pPr>
        <w:pBdr>
          <w:top w:val="single" w:sz="4" w:space="1" w:color="auto"/>
          <w:left w:val="single" w:sz="4" w:space="4" w:color="auto"/>
          <w:bottom w:val="single" w:sz="4" w:space="1" w:color="auto"/>
          <w:right w:val="single" w:sz="4" w:space="4" w:color="auto"/>
        </w:pBdr>
        <w:jc w:val="both"/>
        <w:rPr>
          <w:rFonts w:ascii="Century Gothic" w:hAnsi="Century Gothic" w:cs="Arial"/>
          <w:szCs w:val="22"/>
          <w:lang w:val="fr-CH"/>
        </w:rPr>
      </w:pPr>
      <w:r w:rsidRPr="00A60A5F">
        <w:rPr>
          <w:lang w:val="fr-CH"/>
        </w:rPr>
        <w:t>4 = répond bien aux exigences, les dépasse en partie</w:t>
      </w:r>
    </w:p>
    <w:p w:rsidR="00DE0FC8" w:rsidRPr="00A60A5F" w:rsidRDefault="00DE0FC8" w:rsidP="00DE0FC8">
      <w:pPr>
        <w:pBdr>
          <w:top w:val="single" w:sz="4" w:space="1" w:color="auto"/>
          <w:left w:val="single" w:sz="4" w:space="4" w:color="auto"/>
          <w:bottom w:val="single" w:sz="4" w:space="1" w:color="auto"/>
          <w:right w:val="single" w:sz="4" w:space="4" w:color="auto"/>
        </w:pBdr>
        <w:jc w:val="both"/>
        <w:rPr>
          <w:rFonts w:ascii="Century Gothic" w:hAnsi="Century Gothic" w:cs="Arial"/>
          <w:szCs w:val="22"/>
          <w:lang w:val="fr-CH"/>
        </w:rPr>
      </w:pPr>
      <w:r w:rsidRPr="00A60A5F">
        <w:rPr>
          <w:lang w:val="fr-CH"/>
        </w:rPr>
        <w:t>3 = répond (tout juste) aux exigences</w:t>
      </w:r>
    </w:p>
    <w:p w:rsidR="00DE0FC8" w:rsidRPr="00A60A5F" w:rsidRDefault="00DE0FC8" w:rsidP="00DE0FC8">
      <w:pPr>
        <w:pBdr>
          <w:top w:val="single" w:sz="4" w:space="1" w:color="auto"/>
          <w:left w:val="single" w:sz="4" w:space="4" w:color="auto"/>
          <w:bottom w:val="single" w:sz="4" w:space="1" w:color="auto"/>
          <w:right w:val="single" w:sz="4" w:space="4" w:color="auto"/>
        </w:pBdr>
        <w:jc w:val="both"/>
        <w:rPr>
          <w:rFonts w:ascii="Century Gothic" w:hAnsi="Century Gothic" w:cs="Arial"/>
          <w:szCs w:val="22"/>
          <w:lang w:val="fr-CH"/>
        </w:rPr>
      </w:pPr>
      <w:r w:rsidRPr="00A60A5F">
        <w:rPr>
          <w:lang w:val="fr-CH"/>
        </w:rPr>
        <w:t>2 = insuffisant, ne répond qu’en partie aux exigences</w:t>
      </w:r>
    </w:p>
    <w:p w:rsidR="00DE0FC8" w:rsidRPr="00A60A5F" w:rsidRDefault="00DE0FC8" w:rsidP="00DE0FC8">
      <w:pPr>
        <w:pBdr>
          <w:top w:val="single" w:sz="4" w:space="1" w:color="auto"/>
          <w:left w:val="single" w:sz="4" w:space="4" w:color="auto"/>
          <w:bottom w:val="single" w:sz="4" w:space="1" w:color="auto"/>
          <w:right w:val="single" w:sz="4" w:space="4" w:color="auto"/>
        </w:pBdr>
        <w:jc w:val="both"/>
        <w:rPr>
          <w:rFonts w:ascii="Century Gothic" w:hAnsi="Century Gothic" w:cs="Arial"/>
          <w:szCs w:val="22"/>
          <w:lang w:val="fr-CH"/>
        </w:rPr>
      </w:pPr>
      <w:r w:rsidRPr="00A60A5F">
        <w:rPr>
          <w:lang w:val="fr-CH"/>
        </w:rPr>
        <w:t>1 = inutile, non pertinent</w:t>
      </w:r>
    </w:p>
    <w:p w:rsidR="00DE0FC8" w:rsidRPr="00A60A5F" w:rsidRDefault="00DE0FC8" w:rsidP="00DE0FC8">
      <w:pPr>
        <w:pBdr>
          <w:top w:val="single" w:sz="4" w:space="1" w:color="auto"/>
          <w:left w:val="single" w:sz="4" w:space="4" w:color="auto"/>
          <w:bottom w:val="single" w:sz="4" w:space="1" w:color="auto"/>
          <w:right w:val="single" w:sz="4" w:space="4" w:color="auto"/>
        </w:pBdr>
        <w:jc w:val="both"/>
        <w:rPr>
          <w:rFonts w:ascii="Century Gothic" w:hAnsi="Century Gothic" w:cs="Arial"/>
          <w:szCs w:val="22"/>
          <w:lang w:val="fr-CH"/>
        </w:rPr>
      </w:pPr>
    </w:p>
    <w:p w:rsidR="00D14F2F" w:rsidRPr="00A60A5F" w:rsidRDefault="00D14F2F" w:rsidP="00DE0FC8">
      <w:pPr>
        <w:jc w:val="both"/>
        <w:rPr>
          <w:rFonts w:ascii="Century Gothic" w:hAnsi="Century Gothic"/>
          <w:b/>
          <w:lang w:val="fr-CH"/>
        </w:rPr>
      </w:pPr>
    </w:p>
    <w:p w:rsidR="00DE0FC8" w:rsidRPr="00A60A5F" w:rsidRDefault="00DE0FC8" w:rsidP="00DE0FC8">
      <w:pPr>
        <w:jc w:val="both"/>
        <w:rPr>
          <w:rFonts w:ascii="Century Gothic" w:hAnsi="Century Gothic"/>
          <w:b/>
          <w:lang w:val="fr-CH"/>
        </w:rPr>
      </w:pPr>
      <w:r w:rsidRPr="00A60A5F">
        <w:rPr>
          <w:b/>
          <w:lang w:val="fr-CH"/>
        </w:rPr>
        <w:t>Marchés de construction</w:t>
      </w:r>
    </w:p>
    <w:p w:rsidR="00DE0FC8" w:rsidRPr="00A60A5F" w:rsidRDefault="00DE0FC8" w:rsidP="00DE0FC8">
      <w:pPr>
        <w:jc w:val="both"/>
        <w:rPr>
          <w:rFonts w:ascii="Century Gothic" w:hAnsi="Century Gothic"/>
          <w:lang w:val="fr-CH"/>
        </w:rPr>
      </w:pPr>
      <w:r w:rsidRPr="00A60A5F">
        <w:rPr>
          <w:lang w:val="fr-CH"/>
        </w:rPr>
        <w:t>Mandats portant sur la réalisation de travaux de construction de bâtiments et d’ouvrages de génie civil</w:t>
      </w:r>
    </w:p>
    <w:p w:rsidR="00DE0FC8" w:rsidRPr="00A60A5F" w:rsidRDefault="00DE0FC8" w:rsidP="00DE0FC8">
      <w:pPr>
        <w:jc w:val="both"/>
        <w:rPr>
          <w:rFonts w:ascii="Century Gothic" w:hAnsi="Century Gothic"/>
          <w:b/>
          <w:lang w:val="fr-CH"/>
        </w:rPr>
      </w:pPr>
    </w:p>
    <w:p w:rsidR="00DE0FC8" w:rsidRPr="00A60A5F" w:rsidRDefault="00DE0FC8" w:rsidP="00DE0FC8">
      <w:pPr>
        <w:jc w:val="both"/>
        <w:rPr>
          <w:rFonts w:ascii="Century Gothic" w:hAnsi="Century Gothic"/>
          <w:b/>
          <w:lang w:val="fr-CH"/>
        </w:rPr>
      </w:pPr>
      <w:r w:rsidRPr="00A60A5F">
        <w:rPr>
          <w:b/>
          <w:lang w:val="fr-CH"/>
        </w:rPr>
        <w:t>Critères d’aptitude envisageables pour des marchés de construction</w:t>
      </w:r>
    </w:p>
    <w:p w:rsidR="00DE0FC8" w:rsidRPr="00A60A5F" w:rsidRDefault="00DE0FC8" w:rsidP="00DE0FC8">
      <w:pPr>
        <w:jc w:val="both"/>
        <w:rPr>
          <w:rFonts w:ascii="Century Gothic" w:hAnsi="Century Gothic"/>
          <w:lang w:val="fr-CH"/>
        </w:rPr>
      </w:pPr>
      <w:r w:rsidRPr="00A60A5F">
        <w:rPr>
          <w:lang w:val="fr-CH"/>
        </w:rPr>
        <w:t>Compétence professionnelle de l’entreprise / certificat de performance</w:t>
      </w:r>
      <w:r w:rsidRPr="00A60A5F">
        <w:rPr>
          <w:lang w:val="fr-CH"/>
        </w:rPr>
        <w:br/>
        <w:t xml:space="preserve"> </w:t>
      </w:r>
    </w:p>
    <w:p w:rsidR="00DE0FC8" w:rsidRPr="00A60A5F" w:rsidRDefault="00DE0FC8" w:rsidP="00DE0FC8">
      <w:pPr>
        <w:tabs>
          <w:tab w:val="left" w:pos="6840"/>
          <w:tab w:val="right" w:pos="8460"/>
        </w:tabs>
        <w:jc w:val="both"/>
        <w:rPr>
          <w:rFonts w:ascii="Century Gothic" w:hAnsi="Century Gothic"/>
          <w:lang w:val="fr-CH"/>
        </w:rPr>
      </w:pPr>
      <w:r w:rsidRPr="00A60A5F">
        <w:rPr>
          <w:lang w:val="fr-CH"/>
        </w:rPr>
        <w:t>Objets de référence de l’entreprise pour des mandats comparables</w:t>
      </w:r>
      <w:r w:rsidR="00A60A5F">
        <w:rPr>
          <w:lang w:val="fr-CH"/>
        </w:rPr>
        <w:t xml:space="preserve"> </w:t>
      </w:r>
      <w:r w:rsidRPr="00A60A5F">
        <w:rPr>
          <w:lang w:val="fr-CH"/>
        </w:rPr>
        <w:t>(documents à l’appui)</w:t>
      </w:r>
    </w:p>
    <w:p w:rsidR="00DE0FC8" w:rsidRPr="00A60A5F" w:rsidRDefault="00DE0FC8" w:rsidP="00B7071C">
      <w:pPr>
        <w:tabs>
          <w:tab w:val="left" w:pos="6840"/>
          <w:tab w:val="right" w:pos="8460"/>
        </w:tabs>
        <w:jc w:val="both"/>
        <w:rPr>
          <w:rFonts w:ascii="Century Gothic" w:hAnsi="Century Gothic"/>
          <w:lang w:val="fr-CH"/>
        </w:rPr>
      </w:pPr>
      <w:r w:rsidRPr="00A60A5F">
        <w:rPr>
          <w:lang w:val="fr-CH"/>
        </w:rPr>
        <w:t>Gestion de la qualité au sein de l’entreprise</w:t>
      </w:r>
    </w:p>
    <w:p w:rsidR="00DE0FC8" w:rsidRPr="00B7071C" w:rsidRDefault="00DE0FC8" w:rsidP="00DE0FC8">
      <w:pPr>
        <w:jc w:val="both"/>
        <w:rPr>
          <w:rFonts w:ascii="Century Gothic" w:hAnsi="Century Gothic"/>
          <w:b/>
          <w:i/>
        </w:rPr>
      </w:pPr>
      <w:r>
        <w:rPr>
          <w:b/>
          <w:i/>
        </w:rPr>
        <w:t xml:space="preserve">Remarques : </w:t>
      </w:r>
    </w:p>
    <w:p w:rsidR="00DE0FC8" w:rsidRPr="00A60A5F" w:rsidRDefault="00DE0FC8" w:rsidP="00DE0FC8">
      <w:pPr>
        <w:numPr>
          <w:ilvl w:val="0"/>
          <w:numId w:val="7"/>
        </w:numPr>
        <w:jc w:val="both"/>
        <w:rPr>
          <w:rFonts w:ascii="Century Gothic" w:hAnsi="Century Gothic"/>
          <w:b/>
          <w:i/>
          <w:lang w:val="fr-CH"/>
        </w:rPr>
      </w:pPr>
      <w:r w:rsidRPr="00A60A5F">
        <w:rPr>
          <w:b/>
          <w:i/>
          <w:lang w:val="fr-CH"/>
        </w:rPr>
        <w:t>Tous les critères d’aptitude doivent être remplis.</w:t>
      </w:r>
    </w:p>
    <w:p w:rsidR="00DE0FC8" w:rsidRPr="00A60A5F" w:rsidRDefault="00DE0FC8" w:rsidP="00DE0FC8">
      <w:pPr>
        <w:numPr>
          <w:ilvl w:val="0"/>
          <w:numId w:val="7"/>
        </w:numPr>
        <w:jc w:val="both"/>
        <w:rPr>
          <w:rFonts w:ascii="Century Gothic" w:hAnsi="Century Gothic"/>
          <w:b/>
          <w:i/>
          <w:lang w:val="fr-CH"/>
        </w:rPr>
      </w:pPr>
      <w:r w:rsidRPr="00A60A5F">
        <w:rPr>
          <w:b/>
          <w:i/>
          <w:lang w:val="fr-CH"/>
        </w:rPr>
        <w:t>La liste peut être adaptée en fonction des circonstances particulières.</w:t>
      </w:r>
    </w:p>
    <w:p w:rsidR="00DE0FC8" w:rsidRPr="00A60A5F" w:rsidRDefault="00DE0FC8" w:rsidP="00DE0FC8">
      <w:pPr>
        <w:jc w:val="both"/>
        <w:rPr>
          <w:rFonts w:ascii="Century Gothic" w:hAnsi="Century Gothic"/>
          <w:lang w:val="fr-CH"/>
        </w:rPr>
      </w:pPr>
    </w:p>
    <w:p w:rsidR="00DE0FC8" w:rsidRPr="00A60A5F" w:rsidRDefault="00DE0FC8" w:rsidP="00DE0FC8">
      <w:pPr>
        <w:jc w:val="both"/>
        <w:rPr>
          <w:rFonts w:ascii="Century Gothic" w:hAnsi="Century Gothic"/>
          <w:sz w:val="16"/>
          <w:szCs w:val="16"/>
          <w:lang w:val="fr-CH"/>
        </w:rPr>
      </w:pPr>
      <w:r w:rsidRPr="00A60A5F">
        <w:rPr>
          <w:b/>
          <w:lang w:val="fr-CH"/>
        </w:rPr>
        <w:t>Pondération possible des critères d’adjudication applicables aux mandats de construction</w:t>
      </w:r>
      <w:r w:rsidR="00A60A5F">
        <w:rPr>
          <w:b/>
          <w:lang w:val="fr-CH"/>
        </w:rPr>
        <w:t> </w:t>
      </w:r>
      <w:r w:rsidRPr="00A60A5F">
        <w:rPr>
          <w:b/>
          <w:lang w:val="fr-CH"/>
        </w:rPr>
        <w:t xml:space="preserve">:  </w:t>
      </w:r>
    </w:p>
    <w:p w:rsidR="00DE0FC8" w:rsidRPr="00A60A5F" w:rsidRDefault="00DE0FC8" w:rsidP="00DE0FC8">
      <w:pPr>
        <w:tabs>
          <w:tab w:val="left" w:pos="7200"/>
          <w:tab w:val="right" w:pos="8460"/>
        </w:tabs>
        <w:autoSpaceDE w:val="0"/>
        <w:autoSpaceDN w:val="0"/>
        <w:adjustRightInd w:val="0"/>
        <w:rPr>
          <w:rFonts w:ascii="Century Gothic" w:hAnsi="Century Gothic" w:cs="Arial"/>
          <w:szCs w:val="22"/>
          <w:lang w:val="fr-CH" w:eastAsia="de-CH"/>
        </w:rPr>
      </w:pPr>
      <w:r w:rsidRPr="00A60A5F">
        <w:rPr>
          <w:lang w:val="fr-CH"/>
        </w:rPr>
        <w:t>Respect du budget, qualité d’exécution des objets de référence</w:t>
      </w:r>
      <w:r w:rsidRPr="00A60A5F">
        <w:rPr>
          <w:rFonts w:ascii="Century Gothic" w:hAnsi="Century Gothic" w:cs="Arial"/>
          <w:szCs w:val="22"/>
          <w:lang w:val="fr-CH" w:eastAsia="de-CH"/>
        </w:rPr>
        <w:tab/>
      </w:r>
      <w:r w:rsidRPr="00A60A5F">
        <w:rPr>
          <w:lang w:val="fr-CH"/>
        </w:rPr>
        <w:t>%</w:t>
      </w:r>
      <w:r w:rsidRPr="00A60A5F">
        <w:rPr>
          <w:rFonts w:ascii="Century Gothic" w:hAnsi="Century Gothic" w:cs="Arial"/>
          <w:szCs w:val="22"/>
          <w:lang w:val="fr-CH" w:eastAsia="de-CH"/>
        </w:rPr>
        <w:tab/>
      </w:r>
      <w:r w:rsidRPr="00A60A5F">
        <w:rPr>
          <w:lang w:val="fr-CH"/>
        </w:rPr>
        <w:t>5</w:t>
      </w:r>
    </w:p>
    <w:p w:rsidR="00DE0FC8" w:rsidRPr="00A60A5F" w:rsidRDefault="00DE0FC8" w:rsidP="00DE0FC8">
      <w:pPr>
        <w:tabs>
          <w:tab w:val="left" w:pos="7200"/>
          <w:tab w:val="right" w:pos="8460"/>
        </w:tabs>
        <w:autoSpaceDE w:val="0"/>
        <w:autoSpaceDN w:val="0"/>
        <w:adjustRightInd w:val="0"/>
        <w:rPr>
          <w:rFonts w:ascii="Century Gothic" w:hAnsi="Century Gothic" w:cs="Arial"/>
          <w:szCs w:val="22"/>
          <w:lang w:val="fr-CH" w:eastAsia="de-CH"/>
        </w:rPr>
      </w:pPr>
      <w:r w:rsidRPr="00A60A5F">
        <w:rPr>
          <w:lang w:val="fr-CH"/>
        </w:rPr>
        <w:t>Respect des délais et performance de l’entreprise</w:t>
      </w:r>
      <w:r w:rsidRPr="00A60A5F">
        <w:rPr>
          <w:rFonts w:ascii="Century Gothic" w:hAnsi="Century Gothic" w:cs="Arial"/>
          <w:szCs w:val="22"/>
          <w:lang w:val="fr-CH" w:eastAsia="de-CH"/>
        </w:rPr>
        <w:tab/>
      </w:r>
      <w:r w:rsidRPr="00A60A5F">
        <w:rPr>
          <w:lang w:val="fr-CH"/>
        </w:rPr>
        <w:t>%</w:t>
      </w:r>
      <w:r w:rsidRPr="00A60A5F">
        <w:rPr>
          <w:rFonts w:ascii="Century Gothic" w:hAnsi="Century Gothic" w:cs="Arial"/>
          <w:szCs w:val="22"/>
          <w:lang w:val="fr-CH" w:eastAsia="de-CH"/>
        </w:rPr>
        <w:tab/>
      </w:r>
      <w:r w:rsidRPr="00A60A5F">
        <w:rPr>
          <w:lang w:val="fr-CH"/>
        </w:rPr>
        <w:t>10</w:t>
      </w:r>
    </w:p>
    <w:p w:rsidR="00DE0FC8" w:rsidRPr="00A60A5F" w:rsidRDefault="00DE0FC8" w:rsidP="00DE0FC8">
      <w:pPr>
        <w:tabs>
          <w:tab w:val="left" w:pos="7200"/>
          <w:tab w:val="right" w:pos="8460"/>
        </w:tabs>
        <w:autoSpaceDE w:val="0"/>
        <w:autoSpaceDN w:val="0"/>
        <w:adjustRightInd w:val="0"/>
        <w:rPr>
          <w:rFonts w:ascii="Century Gothic" w:hAnsi="Century Gothic" w:cs="Arial"/>
          <w:szCs w:val="22"/>
          <w:lang w:val="fr-CH" w:eastAsia="de-CH"/>
        </w:rPr>
      </w:pPr>
      <w:r w:rsidRPr="00A60A5F">
        <w:rPr>
          <w:lang w:val="fr-CH"/>
        </w:rPr>
        <w:t>Prix de l’offre</w:t>
      </w:r>
      <w:r w:rsidRPr="00A60A5F">
        <w:rPr>
          <w:rFonts w:ascii="Century Gothic" w:hAnsi="Century Gothic" w:cs="Arial"/>
          <w:szCs w:val="22"/>
          <w:lang w:val="fr-CH" w:eastAsia="de-CH"/>
        </w:rPr>
        <w:tab/>
      </w:r>
      <w:r w:rsidRPr="00A60A5F">
        <w:rPr>
          <w:lang w:val="fr-CH"/>
        </w:rPr>
        <w:t xml:space="preserve"> %</w:t>
      </w:r>
      <w:r w:rsidRPr="00A60A5F">
        <w:rPr>
          <w:rFonts w:ascii="Century Gothic" w:hAnsi="Century Gothic" w:cs="Arial"/>
          <w:szCs w:val="22"/>
          <w:lang w:val="fr-CH" w:eastAsia="de-CH"/>
        </w:rPr>
        <w:tab/>
      </w:r>
      <w:r w:rsidRPr="00A60A5F">
        <w:rPr>
          <w:lang w:val="fr-CH"/>
        </w:rPr>
        <w:t>65</w:t>
      </w:r>
    </w:p>
    <w:p w:rsidR="00DE0FC8" w:rsidRPr="00A60A5F" w:rsidRDefault="00DE0FC8" w:rsidP="00DE0FC8">
      <w:pPr>
        <w:tabs>
          <w:tab w:val="left" w:pos="7200"/>
          <w:tab w:val="right" w:pos="8460"/>
        </w:tabs>
        <w:autoSpaceDE w:val="0"/>
        <w:autoSpaceDN w:val="0"/>
        <w:adjustRightInd w:val="0"/>
        <w:rPr>
          <w:rFonts w:ascii="Century Gothic" w:hAnsi="Century Gothic" w:cs="Arial"/>
          <w:szCs w:val="22"/>
          <w:lang w:val="fr-CH" w:eastAsia="de-CH"/>
        </w:rPr>
      </w:pPr>
      <w:r w:rsidRPr="00A60A5F">
        <w:rPr>
          <w:lang w:val="fr-CH"/>
        </w:rPr>
        <w:t>Compétence professionnelle des collaborateurs clés</w:t>
      </w:r>
      <w:r w:rsidRPr="00A60A5F">
        <w:rPr>
          <w:rFonts w:ascii="Century Gothic" w:hAnsi="Century Gothic" w:cs="Arial"/>
          <w:szCs w:val="22"/>
          <w:lang w:val="fr-CH" w:eastAsia="de-CH"/>
        </w:rPr>
        <w:tab/>
      </w:r>
      <w:r w:rsidRPr="00A60A5F">
        <w:rPr>
          <w:lang w:val="fr-CH"/>
        </w:rPr>
        <w:t>%</w:t>
      </w:r>
      <w:r w:rsidRPr="00A60A5F">
        <w:rPr>
          <w:rFonts w:ascii="Century Gothic" w:hAnsi="Century Gothic" w:cs="Arial"/>
          <w:szCs w:val="22"/>
          <w:lang w:val="fr-CH" w:eastAsia="de-CH"/>
        </w:rPr>
        <w:tab/>
      </w:r>
      <w:r w:rsidRPr="00A60A5F">
        <w:rPr>
          <w:lang w:val="fr-CH"/>
        </w:rPr>
        <w:t>5</w:t>
      </w:r>
    </w:p>
    <w:p w:rsidR="00DE0FC8" w:rsidRPr="00A60A5F" w:rsidRDefault="00DE0FC8" w:rsidP="00DE0FC8">
      <w:pPr>
        <w:tabs>
          <w:tab w:val="left" w:pos="7200"/>
          <w:tab w:val="right" w:pos="8460"/>
        </w:tabs>
        <w:autoSpaceDE w:val="0"/>
        <w:autoSpaceDN w:val="0"/>
        <w:adjustRightInd w:val="0"/>
        <w:rPr>
          <w:rFonts w:ascii="Century Gothic" w:hAnsi="Century Gothic" w:cs="Arial"/>
          <w:szCs w:val="22"/>
          <w:lang w:val="fr-CH" w:eastAsia="de-CH"/>
        </w:rPr>
      </w:pPr>
      <w:r w:rsidRPr="00A60A5F">
        <w:rPr>
          <w:lang w:val="fr-CH"/>
        </w:rPr>
        <w:t>PQM / sécurité</w:t>
      </w:r>
      <w:r w:rsidRPr="00A60A5F">
        <w:rPr>
          <w:rFonts w:ascii="Century Gothic" w:hAnsi="Century Gothic" w:cs="Arial"/>
          <w:szCs w:val="22"/>
          <w:lang w:val="fr-CH" w:eastAsia="de-CH"/>
        </w:rPr>
        <w:tab/>
      </w:r>
      <w:r w:rsidRPr="00A60A5F">
        <w:rPr>
          <w:lang w:val="fr-CH"/>
        </w:rPr>
        <w:t>%</w:t>
      </w:r>
      <w:r w:rsidRPr="00A60A5F">
        <w:rPr>
          <w:rFonts w:ascii="Century Gothic" w:hAnsi="Century Gothic" w:cs="Arial"/>
          <w:szCs w:val="22"/>
          <w:lang w:val="fr-CH" w:eastAsia="de-CH"/>
        </w:rPr>
        <w:tab/>
      </w:r>
      <w:r w:rsidRPr="00A60A5F">
        <w:rPr>
          <w:lang w:val="fr-CH"/>
        </w:rPr>
        <w:t>5</w:t>
      </w:r>
    </w:p>
    <w:p w:rsidR="00DE0FC8" w:rsidRPr="00A60A5F" w:rsidRDefault="00DE0FC8" w:rsidP="00B7071C">
      <w:pPr>
        <w:tabs>
          <w:tab w:val="left" w:pos="7200"/>
          <w:tab w:val="right" w:pos="8460"/>
        </w:tabs>
        <w:jc w:val="both"/>
        <w:rPr>
          <w:rFonts w:ascii="Century Gothic" w:hAnsi="Century Gothic" w:cs="Arial"/>
          <w:szCs w:val="22"/>
          <w:lang w:val="fr-CH"/>
        </w:rPr>
      </w:pPr>
      <w:r w:rsidRPr="00A60A5F">
        <w:rPr>
          <w:lang w:val="fr-CH"/>
        </w:rPr>
        <w:t>Possibilité d’employer une main-d’œuvre locale</w:t>
      </w:r>
      <w:r w:rsidRPr="00A60A5F">
        <w:rPr>
          <w:rFonts w:ascii="Century Gothic" w:hAnsi="Century Gothic" w:cs="Arial"/>
          <w:szCs w:val="22"/>
          <w:lang w:val="fr-CH"/>
        </w:rPr>
        <w:tab/>
      </w:r>
      <w:r w:rsidRPr="00A60A5F">
        <w:rPr>
          <w:lang w:val="fr-CH"/>
        </w:rPr>
        <w:t>%</w:t>
      </w:r>
      <w:r w:rsidRPr="00A60A5F">
        <w:rPr>
          <w:rFonts w:ascii="Century Gothic" w:hAnsi="Century Gothic" w:cs="Arial"/>
          <w:szCs w:val="22"/>
          <w:lang w:val="fr-CH"/>
        </w:rPr>
        <w:tab/>
      </w:r>
      <w:r w:rsidRPr="00A60A5F">
        <w:rPr>
          <w:lang w:val="fr-CH"/>
        </w:rPr>
        <w:t>10</w:t>
      </w:r>
    </w:p>
    <w:p w:rsidR="00DE0FC8" w:rsidRPr="00B7071C" w:rsidRDefault="00DE0FC8" w:rsidP="00DE0FC8">
      <w:pPr>
        <w:jc w:val="both"/>
        <w:rPr>
          <w:rFonts w:ascii="Century Gothic" w:hAnsi="Century Gothic"/>
          <w:b/>
          <w:i/>
        </w:rPr>
      </w:pPr>
      <w:r>
        <w:rPr>
          <w:b/>
          <w:i/>
        </w:rPr>
        <w:t xml:space="preserve">Remarques : </w:t>
      </w:r>
    </w:p>
    <w:p w:rsidR="00DE0FC8" w:rsidRPr="00A60A5F" w:rsidRDefault="00DE0FC8" w:rsidP="00DE0FC8">
      <w:pPr>
        <w:numPr>
          <w:ilvl w:val="0"/>
          <w:numId w:val="7"/>
        </w:numPr>
        <w:jc w:val="both"/>
        <w:rPr>
          <w:rFonts w:ascii="Century Gothic" w:hAnsi="Century Gothic"/>
          <w:b/>
          <w:i/>
          <w:lang w:val="fr-CH"/>
        </w:rPr>
      </w:pPr>
      <w:r w:rsidRPr="00A60A5F">
        <w:rPr>
          <w:b/>
          <w:i/>
          <w:lang w:val="fr-CH"/>
        </w:rPr>
        <w:t>La liste peut être adaptée en fonction des circonstances particulières.</w:t>
      </w:r>
    </w:p>
    <w:p w:rsidR="00DE0FC8" w:rsidRPr="00A60A5F" w:rsidRDefault="00DE0FC8" w:rsidP="00DE0FC8">
      <w:pPr>
        <w:numPr>
          <w:ilvl w:val="0"/>
          <w:numId w:val="7"/>
        </w:numPr>
        <w:jc w:val="both"/>
        <w:rPr>
          <w:rFonts w:ascii="Century Gothic" w:hAnsi="Century Gothic"/>
          <w:b/>
          <w:i/>
          <w:lang w:val="fr-CH"/>
        </w:rPr>
      </w:pPr>
      <w:r w:rsidRPr="00A60A5F">
        <w:rPr>
          <w:b/>
          <w:i/>
          <w:lang w:val="fr-CH"/>
        </w:rPr>
        <w:t>La pondération des critères doit être adaptée aux circonstances.</w:t>
      </w:r>
    </w:p>
    <w:p w:rsidR="00DE0FC8" w:rsidRPr="00A60A5F" w:rsidRDefault="00DE0FC8" w:rsidP="00DE0FC8">
      <w:pPr>
        <w:jc w:val="both"/>
        <w:rPr>
          <w:rFonts w:ascii="Century Gothic" w:hAnsi="Century Gothic" w:cs="Arial"/>
          <w:szCs w:val="22"/>
          <w:lang w:val="fr-CH"/>
        </w:rPr>
      </w:pPr>
    </w:p>
    <w:p w:rsidR="00DE0FC8" w:rsidRPr="00A60A5F" w:rsidRDefault="00DE0FC8" w:rsidP="00DE0FC8">
      <w:pPr>
        <w:pBdr>
          <w:top w:val="single" w:sz="4" w:space="1" w:color="auto"/>
          <w:left w:val="single" w:sz="4" w:space="4" w:color="auto"/>
          <w:bottom w:val="single" w:sz="4" w:space="1" w:color="auto"/>
          <w:right w:val="single" w:sz="4" w:space="4" w:color="auto"/>
        </w:pBdr>
        <w:jc w:val="both"/>
        <w:rPr>
          <w:rFonts w:ascii="Century Gothic" w:hAnsi="Century Gothic" w:cs="Arial"/>
          <w:szCs w:val="22"/>
          <w:lang w:val="fr-CH"/>
        </w:rPr>
      </w:pPr>
    </w:p>
    <w:p w:rsidR="00DE0FC8" w:rsidRPr="00A60A5F" w:rsidRDefault="00DE0FC8" w:rsidP="00DE0FC8">
      <w:pPr>
        <w:pBdr>
          <w:top w:val="single" w:sz="4" w:space="1" w:color="auto"/>
          <w:left w:val="single" w:sz="4" w:space="4" w:color="auto"/>
          <w:bottom w:val="single" w:sz="4" w:space="1" w:color="auto"/>
          <w:right w:val="single" w:sz="4" w:space="4" w:color="auto"/>
        </w:pBdr>
        <w:jc w:val="both"/>
        <w:rPr>
          <w:rFonts w:ascii="Century Gothic" w:hAnsi="Century Gothic"/>
          <w:b/>
          <w:lang w:val="fr-CH"/>
        </w:rPr>
      </w:pPr>
      <w:r w:rsidRPr="00A60A5F">
        <w:rPr>
          <w:b/>
          <w:lang w:val="fr-CH"/>
        </w:rPr>
        <w:t>Evaluation</w:t>
      </w:r>
      <w:r w:rsidRPr="00A60A5F">
        <w:rPr>
          <w:rStyle w:val="Marquenotebasdepage"/>
          <w:b/>
          <w:lang w:val="fr-CH"/>
        </w:rPr>
        <w:t>2</w:t>
      </w:r>
      <w:r w:rsidRPr="00A60A5F">
        <w:rPr>
          <w:b/>
          <w:lang w:val="fr-CH"/>
        </w:rPr>
        <w:t> :</w:t>
      </w:r>
    </w:p>
    <w:p w:rsidR="00DE0FC8" w:rsidRPr="00A60A5F" w:rsidRDefault="00DE0FC8" w:rsidP="00DE0FC8">
      <w:pPr>
        <w:pBdr>
          <w:top w:val="single" w:sz="4" w:space="1" w:color="auto"/>
          <w:left w:val="single" w:sz="4" w:space="4" w:color="auto"/>
          <w:bottom w:val="single" w:sz="4" w:space="1" w:color="auto"/>
          <w:right w:val="single" w:sz="4" w:space="4" w:color="auto"/>
        </w:pBdr>
        <w:jc w:val="both"/>
        <w:rPr>
          <w:rFonts w:ascii="Century Gothic" w:hAnsi="Century Gothic"/>
          <w:lang w:val="fr-CH"/>
        </w:rPr>
      </w:pPr>
      <w:r w:rsidRPr="00A60A5F">
        <w:rPr>
          <w:lang w:val="fr-CH"/>
        </w:rPr>
        <w:t xml:space="preserve">Les cinq critères d’adjudication sont évalués à l’aide de points de 1 à 5. </w:t>
      </w:r>
    </w:p>
    <w:p w:rsidR="00DE0FC8" w:rsidRPr="00A60A5F" w:rsidRDefault="00DE0FC8" w:rsidP="00DE0FC8">
      <w:pPr>
        <w:pBdr>
          <w:top w:val="single" w:sz="4" w:space="1" w:color="auto"/>
          <w:left w:val="single" w:sz="4" w:space="4" w:color="auto"/>
          <w:bottom w:val="single" w:sz="4" w:space="1" w:color="auto"/>
          <w:right w:val="single" w:sz="4" w:space="4" w:color="auto"/>
        </w:pBdr>
        <w:jc w:val="both"/>
        <w:rPr>
          <w:rFonts w:ascii="Century Gothic" w:hAnsi="Century Gothic"/>
          <w:lang w:val="fr-CH"/>
        </w:rPr>
      </w:pPr>
    </w:p>
    <w:p w:rsidR="00DE0FC8" w:rsidRPr="00A60A5F" w:rsidRDefault="00DE0FC8" w:rsidP="00DE0FC8">
      <w:pPr>
        <w:pBdr>
          <w:top w:val="single" w:sz="4" w:space="1" w:color="auto"/>
          <w:left w:val="single" w:sz="4" w:space="4" w:color="auto"/>
          <w:bottom w:val="single" w:sz="4" w:space="1" w:color="auto"/>
          <w:right w:val="single" w:sz="4" w:space="4" w:color="auto"/>
        </w:pBdr>
        <w:jc w:val="both"/>
        <w:rPr>
          <w:rFonts w:ascii="Century Gothic" w:hAnsi="Century Gothic"/>
          <w:lang w:val="fr-CH"/>
        </w:rPr>
      </w:pPr>
      <w:r w:rsidRPr="00A60A5F">
        <w:rPr>
          <w:lang w:val="fr-CH"/>
        </w:rPr>
        <w:t>Le prix est apprécié à l’aide de la formule linéaire suivante :</w:t>
      </w:r>
    </w:p>
    <w:p w:rsidR="00DE0FC8" w:rsidRPr="00A60A5F" w:rsidRDefault="00DE0FC8" w:rsidP="00DE0FC8">
      <w:pPr>
        <w:pBdr>
          <w:top w:val="single" w:sz="4" w:space="1" w:color="auto"/>
          <w:left w:val="single" w:sz="4" w:space="4" w:color="auto"/>
          <w:bottom w:val="single" w:sz="4" w:space="1" w:color="auto"/>
          <w:right w:val="single" w:sz="4" w:space="4" w:color="auto"/>
        </w:pBdr>
        <w:jc w:val="both"/>
        <w:rPr>
          <w:rFonts w:ascii="Century Gothic" w:hAnsi="Century Gothic"/>
          <w:lang w:val="fr-CH"/>
        </w:rPr>
      </w:pPr>
      <w:r w:rsidRPr="00A60A5F">
        <w:rPr>
          <w:lang w:val="fr-CH"/>
        </w:rPr>
        <w:t>Offre au prix le plus bas. 5 points</w:t>
      </w:r>
    </w:p>
    <w:p w:rsidR="00DE0FC8" w:rsidRPr="00A60A5F" w:rsidRDefault="00DE0FC8" w:rsidP="00DE0FC8">
      <w:pPr>
        <w:pBdr>
          <w:top w:val="single" w:sz="4" w:space="1" w:color="auto"/>
          <w:left w:val="single" w:sz="4" w:space="4" w:color="auto"/>
          <w:bottom w:val="single" w:sz="4" w:space="1" w:color="auto"/>
          <w:right w:val="single" w:sz="4" w:space="4" w:color="auto"/>
        </w:pBdr>
        <w:jc w:val="both"/>
        <w:rPr>
          <w:rFonts w:ascii="Century Gothic" w:hAnsi="Century Gothic"/>
          <w:lang w:val="fr-CH"/>
        </w:rPr>
      </w:pPr>
      <w:r w:rsidRPr="00A60A5F">
        <w:rPr>
          <w:lang w:val="fr-CH"/>
        </w:rPr>
        <w:t>Par pourcentage de différence : déduction de 0,1 point</w:t>
      </w:r>
    </w:p>
    <w:p w:rsidR="00DE0FC8" w:rsidRPr="00A60A5F" w:rsidRDefault="00DE0FC8" w:rsidP="00DE0FC8">
      <w:pPr>
        <w:pBdr>
          <w:top w:val="single" w:sz="4" w:space="1" w:color="auto"/>
          <w:left w:val="single" w:sz="4" w:space="4" w:color="auto"/>
          <w:bottom w:val="single" w:sz="4" w:space="1" w:color="auto"/>
          <w:right w:val="single" w:sz="4" w:space="4" w:color="auto"/>
        </w:pBdr>
        <w:jc w:val="both"/>
        <w:rPr>
          <w:rFonts w:ascii="Century Gothic" w:hAnsi="Century Gothic"/>
          <w:lang w:val="fr-CH"/>
        </w:rPr>
      </w:pPr>
      <w:r w:rsidRPr="00A60A5F">
        <w:rPr>
          <w:lang w:val="fr-CH"/>
        </w:rPr>
        <w:t>En cas de différence de prix de 40% et plus : déduction de 4 points</w:t>
      </w:r>
    </w:p>
    <w:p w:rsidR="00DE0FC8" w:rsidRPr="00A60A5F" w:rsidRDefault="00DE0FC8" w:rsidP="00DE0FC8">
      <w:pPr>
        <w:pBdr>
          <w:top w:val="single" w:sz="4" w:space="1" w:color="auto"/>
          <w:left w:val="single" w:sz="4" w:space="4" w:color="auto"/>
          <w:bottom w:val="single" w:sz="4" w:space="1" w:color="auto"/>
          <w:right w:val="single" w:sz="4" w:space="4" w:color="auto"/>
        </w:pBdr>
        <w:jc w:val="both"/>
        <w:rPr>
          <w:rFonts w:ascii="Century Gothic" w:hAnsi="Century Gothic" w:cs="Arial"/>
          <w:szCs w:val="22"/>
          <w:lang w:val="fr-CH"/>
        </w:rPr>
      </w:pPr>
    </w:p>
    <w:p w:rsidR="00DE0FC8" w:rsidRPr="00A60A5F" w:rsidRDefault="00DE0FC8" w:rsidP="00DE0FC8">
      <w:pPr>
        <w:pBdr>
          <w:top w:val="single" w:sz="4" w:space="1" w:color="auto"/>
          <w:left w:val="single" w:sz="4" w:space="4" w:color="auto"/>
          <w:bottom w:val="single" w:sz="4" w:space="1" w:color="auto"/>
          <w:right w:val="single" w:sz="4" w:space="4" w:color="auto"/>
        </w:pBdr>
        <w:jc w:val="both"/>
        <w:rPr>
          <w:rFonts w:ascii="Century Gothic" w:hAnsi="Century Gothic" w:cs="Arial"/>
          <w:szCs w:val="22"/>
          <w:lang w:val="fr-CH"/>
        </w:rPr>
      </w:pPr>
      <w:r w:rsidRPr="00A60A5F">
        <w:rPr>
          <w:b/>
          <w:lang w:val="fr-CH"/>
        </w:rPr>
        <w:t>Echelle de notation pour les autres critères d’adjudication</w:t>
      </w:r>
    </w:p>
    <w:p w:rsidR="00DE0FC8" w:rsidRPr="00A60A5F" w:rsidRDefault="00DE0FC8" w:rsidP="00DE0FC8">
      <w:pPr>
        <w:pBdr>
          <w:top w:val="single" w:sz="4" w:space="1" w:color="auto"/>
          <w:left w:val="single" w:sz="4" w:space="4" w:color="auto"/>
          <w:bottom w:val="single" w:sz="4" w:space="1" w:color="auto"/>
          <w:right w:val="single" w:sz="4" w:space="4" w:color="auto"/>
        </w:pBdr>
        <w:jc w:val="both"/>
        <w:rPr>
          <w:rFonts w:ascii="Century Gothic" w:hAnsi="Century Gothic" w:cs="Arial"/>
          <w:szCs w:val="22"/>
          <w:lang w:val="fr-CH"/>
        </w:rPr>
      </w:pPr>
      <w:r w:rsidRPr="00A60A5F">
        <w:rPr>
          <w:lang w:val="fr-CH"/>
        </w:rPr>
        <w:t>5 = excellent, dépasse largement les exigences, innovant</w:t>
      </w:r>
    </w:p>
    <w:p w:rsidR="00DE0FC8" w:rsidRPr="00A60A5F" w:rsidRDefault="00DE0FC8" w:rsidP="00DE0FC8">
      <w:pPr>
        <w:pBdr>
          <w:top w:val="single" w:sz="4" w:space="1" w:color="auto"/>
          <w:left w:val="single" w:sz="4" w:space="4" w:color="auto"/>
          <w:bottom w:val="single" w:sz="4" w:space="1" w:color="auto"/>
          <w:right w:val="single" w:sz="4" w:space="4" w:color="auto"/>
        </w:pBdr>
        <w:jc w:val="both"/>
        <w:rPr>
          <w:rFonts w:ascii="Century Gothic" w:hAnsi="Century Gothic" w:cs="Arial"/>
          <w:szCs w:val="22"/>
          <w:lang w:val="fr-CH"/>
        </w:rPr>
      </w:pPr>
      <w:r w:rsidRPr="00A60A5F">
        <w:rPr>
          <w:lang w:val="fr-CH"/>
        </w:rPr>
        <w:t>4 = répond bien aux exigences, les dépasse en partie</w:t>
      </w:r>
    </w:p>
    <w:p w:rsidR="00DE0FC8" w:rsidRPr="00A60A5F" w:rsidRDefault="00DE0FC8" w:rsidP="00DE0FC8">
      <w:pPr>
        <w:pBdr>
          <w:top w:val="single" w:sz="4" w:space="1" w:color="auto"/>
          <w:left w:val="single" w:sz="4" w:space="4" w:color="auto"/>
          <w:bottom w:val="single" w:sz="4" w:space="1" w:color="auto"/>
          <w:right w:val="single" w:sz="4" w:space="4" w:color="auto"/>
        </w:pBdr>
        <w:jc w:val="both"/>
        <w:rPr>
          <w:rFonts w:ascii="Century Gothic" w:hAnsi="Century Gothic" w:cs="Arial"/>
          <w:szCs w:val="22"/>
          <w:lang w:val="fr-CH"/>
        </w:rPr>
      </w:pPr>
      <w:r w:rsidRPr="00A60A5F">
        <w:rPr>
          <w:lang w:val="fr-CH"/>
        </w:rPr>
        <w:t>3 = répond (tout juste) aux exigences</w:t>
      </w:r>
    </w:p>
    <w:p w:rsidR="00DE0FC8" w:rsidRPr="00A60A5F" w:rsidRDefault="00DE0FC8" w:rsidP="00DE0FC8">
      <w:pPr>
        <w:pBdr>
          <w:top w:val="single" w:sz="4" w:space="1" w:color="auto"/>
          <w:left w:val="single" w:sz="4" w:space="4" w:color="auto"/>
          <w:bottom w:val="single" w:sz="4" w:space="1" w:color="auto"/>
          <w:right w:val="single" w:sz="4" w:space="4" w:color="auto"/>
        </w:pBdr>
        <w:jc w:val="both"/>
        <w:rPr>
          <w:rFonts w:ascii="Century Gothic" w:hAnsi="Century Gothic" w:cs="Arial"/>
          <w:szCs w:val="22"/>
          <w:lang w:val="fr-CH"/>
        </w:rPr>
      </w:pPr>
      <w:r w:rsidRPr="00A60A5F">
        <w:rPr>
          <w:lang w:val="fr-CH"/>
        </w:rPr>
        <w:t>2 = insuffisant, ne répond qu’en partie aux exigences</w:t>
      </w:r>
    </w:p>
    <w:p w:rsidR="00DE0FC8" w:rsidRPr="00A60A5F" w:rsidRDefault="00DE0FC8" w:rsidP="00DE0FC8">
      <w:pPr>
        <w:pBdr>
          <w:top w:val="single" w:sz="4" w:space="1" w:color="auto"/>
          <w:left w:val="single" w:sz="4" w:space="4" w:color="auto"/>
          <w:bottom w:val="single" w:sz="4" w:space="1" w:color="auto"/>
          <w:right w:val="single" w:sz="4" w:space="4" w:color="auto"/>
        </w:pBdr>
        <w:jc w:val="both"/>
        <w:rPr>
          <w:rFonts w:ascii="Century Gothic" w:hAnsi="Century Gothic" w:cs="Arial"/>
          <w:szCs w:val="22"/>
          <w:lang w:val="fr-CH"/>
        </w:rPr>
      </w:pPr>
      <w:r w:rsidRPr="00A60A5F">
        <w:rPr>
          <w:lang w:val="fr-CH"/>
        </w:rPr>
        <w:t>1 = inutile, non pertinent</w:t>
      </w:r>
    </w:p>
    <w:p w:rsidR="00DE0FC8" w:rsidRPr="00A60A5F" w:rsidRDefault="00DE0FC8" w:rsidP="00DE0FC8">
      <w:pPr>
        <w:pBdr>
          <w:top w:val="single" w:sz="4" w:space="1" w:color="auto"/>
          <w:left w:val="single" w:sz="4" w:space="4" w:color="auto"/>
          <w:bottom w:val="single" w:sz="4" w:space="1" w:color="auto"/>
          <w:right w:val="single" w:sz="4" w:space="4" w:color="auto"/>
        </w:pBdr>
        <w:jc w:val="both"/>
        <w:rPr>
          <w:rFonts w:ascii="Century Gothic" w:hAnsi="Century Gothic" w:cs="Arial"/>
          <w:szCs w:val="22"/>
          <w:lang w:val="fr-CH"/>
        </w:rPr>
      </w:pPr>
    </w:p>
    <w:p w:rsidR="00023CDE" w:rsidRPr="00A60A5F" w:rsidRDefault="00023CDE" w:rsidP="009627BB">
      <w:pPr>
        <w:jc w:val="both"/>
        <w:rPr>
          <w:rFonts w:ascii="Century Gothic" w:hAnsi="Century Gothic" w:cs="Arial"/>
          <w:szCs w:val="22"/>
          <w:lang w:val="fr-CH"/>
        </w:rPr>
      </w:pPr>
    </w:p>
    <w:p w:rsidR="00C71271" w:rsidRPr="00A60A5F" w:rsidRDefault="00C71271" w:rsidP="009627BB">
      <w:pPr>
        <w:jc w:val="both"/>
        <w:rPr>
          <w:rFonts w:ascii="Century Gothic" w:hAnsi="Century Gothic" w:cs="Arial"/>
          <w:szCs w:val="22"/>
          <w:lang w:val="fr-CH"/>
        </w:rPr>
      </w:pPr>
    </w:p>
    <w:p w:rsidR="00505D64" w:rsidRPr="00A60A5F" w:rsidRDefault="00671884" w:rsidP="009627BB">
      <w:pPr>
        <w:jc w:val="both"/>
        <w:rPr>
          <w:rFonts w:ascii="Century Gothic" w:hAnsi="Century Gothic" w:cs="Arial"/>
          <w:szCs w:val="22"/>
          <w:lang w:val="fr-CH"/>
        </w:rPr>
      </w:pPr>
      <w:r w:rsidRPr="00A60A5F">
        <w:rPr>
          <w:b/>
          <w:u w:val="single"/>
          <w:lang w:val="fr-CH"/>
        </w:rPr>
        <w:t>Procédure de consultation</w:t>
      </w:r>
      <w:r w:rsidRPr="00A60A5F">
        <w:rPr>
          <w:b/>
          <w:lang w:val="fr-CH"/>
        </w:rPr>
        <w:t xml:space="preserve"> :</w:t>
      </w:r>
      <w:r w:rsidRPr="00A60A5F">
        <w:rPr>
          <w:lang w:val="fr-CH"/>
        </w:rPr>
        <w:t xml:space="preserve"> Le document a été soumis pour examen au Centre de Compétences Contrats et Marchés Publics DFAE (courriel du 03.05. 2011), avant d’être présenté </w:t>
      </w:r>
      <w:r w:rsidR="00570D70" w:rsidRPr="00A60A5F">
        <w:rPr>
          <w:lang w:val="fr-CH"/>
        </w:rPr>
        <w:t xml:space="preserve">le 17 mai </w:t>
      </w:r>
      <w:r w:rsidRPr="00A60A5F">
        <w:rPr>
          <w:lang w:val="fr-CH"/>
        </w:rPr>
        <w:t>au Comité des opérations H, qui en a débattu (procès-verbal du 19.05.2011). La présente version tient compte des corrections et des propositions de modification du Centre de Compétences et du Comité des opérations H.</w:t>
      </w:r>
    </w:p>
    <w:p w:rsidR="00505D64" w:rsidRPr="00A60A5F" w:rsidRDefault="00961DF3" w:rsidP="009627BB">
      <w:pPr>
        <w:jc w:val="both"/>
        <w:rPr>
          <w:rFonts w:ascii="Century Gothic" w:hAnsi="Century Gothic" w:cs="Arial"/>
          <w:szCs w:val="22"/>
          <w:lang w:val="fr-CH"/>
        </w:rPr>
      </w:pPr>
      <w:r w:rsidRPr="00A60A5F">
        <w:rPr>
          <w:lang w:val="fr-CH"/>
        </w:rPr>
        <w:t>Le document a été approuvé par la direction du domaine Aide humanitaire le 31 mai 2011.</w:t>
      </w:r>
    </w:p>
    <w:p w:rsidR="00671884" w:rsidRPr="00A60A5F" w:rsidRDefault="00671884" w:rsidP="009627BB">
      <w:pPr>
        <w:jc w:val="both"/>
        <w:rPr>
          <w:rFonts w:ascii="Century Gothic" w:hAnsi="Century Gothic" w:cs="Arial"/>
          <w:szCs w:val="22"/>
          <w:lang w:val="fr-CH"/>
        </w:rPr>
      </w:pPr>
    </w:p>
    <w:p w:rsidR="00B7071C" w:rsidRPr="00A60A5F" w:rsidRDefault="00B7071C" w:rsidP="009627BB">
      <w:pPr>
        <w:jc w:val="both"/>
        <w:rPr>
          <w:rFonts w:ascii="Century Gothic" w:hAnsi="Century Gothic" w:cs="Arial"/>
          <w:szCs w:val="22"/>
          <w:lang w:val="fr-CH"/>
        </w:rPr>
      </w:pPr>
    </w:p>
    <w:p w:rsidR="00B7071C" w:rsidRPr="00A60A5F" w:rsidRDefault="00B7071C" w:rsidP="009627BB">
      <w:pPr>
        <w:jc w:val="both"/>
        <w:rPr>
          <w:rFonts w:ascii="Century Gothic" w:hAnsi="Century Gothic" w:cs="Arial"/>
          <w:szCs w:val="22"/>
          <w:lang w:val="fr-CH"/>
        </w:rPr>
      </w:pPr>
    </w:p>
    <w:p w:rsidR="00DE0FC8" w:rsidRPr="00A60A5F" w:rsidRDefault="00505D64" w:rsidP="009627BB">
      <w:pPr>
        <w:jc w:val="both"/>
        <w:rPr>
          <w:rFonts w:ascii="Century Gothic" w:hAnsi="Century Gothic" w:cs="Arial"/>
          <w:szCs w:val="22"/>
          <w:lang w:val="fr-CH"/>
        </w:rPr>
      </w:pPr>
      <w:r w:rsidRPr="00A60A5F">
        <w:rPr>
          <w:b/>
          <w:u w:val="single"/>
          <w:lang w:val="fr-CH"/>
        </w:rPr>
        <w:t>Annexe 1</w:t>
      </w:r>
      <w:r w:rsidRPr="00A60A5F">
        <w:rPr>
          <w:b/>
          <w:lang w:val="fr-CH"/>
        </w:rPr>
        <w:t xml:space="preserve"> :</w:t>
      </w:r>
      <w:r w:rsidRPr="00A60A5F">
        <w:rPr>
          <w:lang w:val="fr-CH"/>
        </w:rPr>
        <w:t xml:space="preserve"> Guide intitulé « Elaboration et évaluation de critères d’aptitude et d’adjudication »</w:t>
      </w:r>
    </w:p>
    <w:sectPr w:rsidR="00DE0FC8" w:rsidRPr="00A60A5F" w:rsidSect="001159A3">
      <w:headerReference w:type="default" r:id="rId8"/>
      <w:footerReference w:type="default" r:id="rId9"/>
      <w:headerReference w:type="first" r:id="rId10"/>
      <w:pgSz w:w="11906" w:h="16838"/>
      <w:pgMar w:top="1418" w:right="1418" w:bottom="1134" w:left="1418" w:header="709" w:footer="709" w:gutter="0"/>
      <w:pgNumType w:start="1"/>
      <w:cols w:space="708"/>
      <w:titlePg/>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76475A" w:rsidRDefault="0076475A">
      <w:r>
        <w:separator/>
      </w:r>
    </w:p>
  </w:endnote>
  <w:endnote w:type="continuationSeparator" w:id="1">
    <w:p w:rsidR="0076475A" w:rsidRDefault="007647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20005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Century Gothic">
    <w:panose1 w:val="020B0502020202020204"/>
    <w:charset w:val="00"/>
    <w:family w:val="auto"/>
    <w:pitch w:val="variable"/>
    <w:sig w:usb0="00000003" w:usb1="00000000" w:usb2="00000000" w:usb3="00000000" w:csb0="00000001" w:csb1="00000000"/>
  </w:font>
  <w:font w:name="宋体">
    <w:panose1 w:val="00000000000000000000"/>
    <w:charset w:val="86"/>
    <w:family w:val="auto"/>
    <w:notTrueType/>
    <w:pitch w:val="variable"/>
    <w:sig w:usb0="00000001" w:usb1="00000000" w:usb2="0100040E" w:usb3="00000000" w:csb0="0004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1159A3" w:rsidRPr="00E16372" w:rsidRDefault="001159A3" w:rsidP="001159A3">
    <w:pPr>
      <w:pStyle w:val="Pieddepage"/>
      <w:jc w:val="right"/>
      <w:rPr>
        <w:sz w:val="16"/>
        <w:szCs w:val="16"/>
      </w:rPr>
    </w:pPr>
    <w:r>
      <w:t xml:space="preserve">Page </w:t>
    </w:r>
    <w:r w:rsidR="004B4590" w:rsidRPr="00E16372">
      <w:rPr>
        <w:sz w:val="16"/>
        <w:szCs w:val="16"/>
      </w:rPr>
      <w:fldChar w:fldCharType="begin"/>
    </w:r>
    <w:r w:rsidRPr="00E16372">
      <w:rPr>
        <w:sz w:val="16"/>
        <w:szCs w:val="16"/>
      </w:rPr>
      <w:instrText xml:space="preserve"> PAGE </w:instrText>
    </w:r>
    <w:r w:rsidR="004B4590" w:rsidRPr="00E16372">
      <w:rPr>
        <w:sz w:val="16"/>
        <w:szCs w:val="16"/>
      </w:rPr>
      <w:fldChar w:fldCharType="separate"/>
    </w:r>
    <w:r w:rsidR="004807FC">
      <w:rPr>
        <w:noProof/>
        <w:sz w:val="16"/>
        <w:szCs w:val="16"/>
      </w:rPr>
      <w:t>2</w:t>
    </w:r>
    <w:r w:rsidR="004B4590" w:rsidRPr="00E16372">
      <w:rPr>
        <w:sz w:val="16"/>
        <w:szCs w:val="16"/>
      </w:rPr>
      <w:fldChar w:fldCharType="end"/>
    </w:r>
    <w:r>
      <w:t xml:space="preserve"> de </w:t>
    </w:r>
    <w:r w:rsidR="004B4590" w:rsidRPr="00E16372">
      <w:rPr>
        <w:sz w:val="16"/>
        <w:szCs w:val="16"/>
      </w:rPr>
      <w:fldChar w:fldCharType="begin"/>
    </w:r>
    <w:r w:rsidRPr="00E16372">
      <w:rPr>
        <w:sz w:val="16"/>
        <w:szCs w:val="16"/>
      </w:rPr>
      <w:instrText xml:space="preserve"> NUMPAGES  </w:instrText>
    </w:r>
    <w:r w:rsidR="004B4590" w:rsidRPr="00E16372">
      <w:rPr>
        <w:sz w:val="16"/>
        <w:szCs w:val="16"/>
      </w:rPr>
      <w:fldChar w:fldCharType="separate"/>
    </w:r>
    <w:r w:rsidR="004807FC">
      <w:rPr>
        <w:noProof/>
        <w:sz w:val="16"/>
        <w:szCs w:val="16"/>
      </w:rPr>
      <w:t>5</w:t>
    </w:r>
    <w:r w:rsidR="004B4590" w:rsidRPr="00E16372">
      <w:rPr>
        <w:sz w:val="16"/>
        <w:szCs w:val="16"/>
      </w:rPr>
      <w:fldChar w:fldCharType="end"/>
    </w:r>
  </w:p>
  <w:p w:rsidR="001159A3" w:rsidRDefault="001159A3">
    <w:pPr>
      <w:pStyle w:val="Pieddepage"/>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76475A" w:rsidRDefault="0076475A">
      <w:r>
        <w:separator/>
      </w:r>
    </w:p>
  </w:footnote>
  <w:footnote w:type="continuationSeparator" w:id="1">
    <w:p w:rsidR="0076475A" w:rsidRDefault="0076475A">
      <w:r>
        <w:continuationSeparator/>
      </w:r>
    </w:p>
  </w:footnote>
  <w:footnote w:id="2">
    <w:p w:rsidR="001B7AC2" w:rsidRPr="00A60A5F" w:rsidRDefault="001B7AC2" w:rsidP="001B7AC2">
      <w:pPr>
        <w:pStyle w:val="Notedebasdepage"/>
        <w:rPr>
          <w:lang w:val="fr-CH"/>
        </w:rPr>
      </w:pPr>
      <w:r>
        <w:rPr>
          <w:rStyle w:val="Marquenotebasdepage"/>
        </w:rPr>
        <w:footnoteRef/>
      </w:r>
      <w:r w:rsidRPr="00A60A5F">
        <w:rPr>
          <w:lang w:val="fr-CH"/>
        </w:rPr>
        <w:t xml:space="preserve"> Certaines des valeurs-seuils indiquées ci-après sont largement inférieures aux valeurs-seuils légales, qui sont trop élevées pour les projets de construction habituellement financés et réalisés par l’AH dans ses pays d’intervention.</w:t>
      </w:r>
    </w:p>
  </w:footnote>
  <w:footnote w:id="3">
    <w:p w:rsidR="00023CDE" w:rsidRPr="00A60A5F" w:rsidRDefault="00023CDE">
      <w:pPr>
        <w:pStyle w:val="Notedebasdepage"/>
        <w:rPr>
          <w:lang w:val="fr-CH"/>
        </w:rPr>
      </w:pPr>
      <w:r>
        <w:rPr>
          <w:rStyle w:val="Marquenotebasdepage"/>
        </w:rPr>
        <w:footnoteRef/>
      </w:r>
      <w:r w:rsidRPr="00A60A5F">
        <w:rPr>
          <w:lang w:val="fr-CH"/>
        </w:rPr>
        <w:t xml:space="preserve"> Voir à ce sujet l’annexe 1 : Guide élaboré par le Centre de Compétences Contrats et Marchés Publics DFAE intitulé « Elaboration et évaluation de critères d’aptitude et d’adjudication »</w:t>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023CDE" w:rsidRDefault="00042B51">
    <w:pPr>
      <w:pStyle w:val="En-tte"/>
    </w:pPr>
    <w:r>
      <w:rPr>
        <w:noProof/>
        <w:lang w:val="fr-FR" w:eastAsia="fr-FR"/>
      </w:rPr>
      <w:drawing>
        <wp:inline distT="0" distB="0" distL="0" distR="0">
          <wp:extent cx="1981200" cy="485775"/>
          <wp:effectExtent l="19050" t="0" r="0" b="0"/>
          <wp:docPr id="1" name="Picture 1" descr="Bund_RGB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nd_RGB_pos"/>
                  <pic:cNvPicPr>
                    <a:picLocks noChangeAspect="1" noChangeArrowheads="1"/>
                  </pic:cNvPicPr>
                </pic:nvPicPr>
                <pic:blipFill>
                  <a:blip r:embed="rId1"/>
                  <a:srcRect/>
                  <a:stretch>
                    <a:fillRect/>
                  </a:stretch>
                </pic:blipFill>
                <pic:spPr bwMode="auto">
                  <a:xfrm>
                    <a:off x="0" y="0"/>
                    <a:ext cx="1981200" cy="485775"/>
                  </a:xfrm>
                  <a:prstGeom prst="rect">
                    <a:avLst/>
                  </a:prstGeom>
                  <a:noFill/>
                  <a:ln w="9525">
                    <a:noFill/>
                    <a:miter lim="800000"/>
                    <a:headEnd/>
                    <a:tailEnd/>
                  </a:ln>
                </pic:spPr>
              </pic:pic>
            </a:graphicData>
          </a:graphic>
        </wp:inline>
      </w:drawing>
    </w:r>
  </w:p>
</w:hdr>
</file>

<file path=word/header2.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tbl>
    <w:tblPr>
      <w:tblW w:w="9809" w:type="dxa"/>
      <w:tblInd w:w="-595" w:type="dxa"/>
      <w:tblLayout w:type="fixed"/>
      <w:tblLook w:val="01E0"/>
    </w:tblPr>
    <w:tblGrid>
      <w:gridCol w:w="4848"/>
      <w:gridCol w:w="4961"/>
    </w:tblGrid>
    <w:tr w:rsidR="00023CDE" w:rsidRPr="00EC3A01">
      <w:trPr>
        <w:cantSplit/>
        <w:trHeight w:hRule="exact" w:val="1979"/>
      </w:trPr>
      <w:tc>
        <w:tcPr>
          <w:tcW w:w="4848" w:type="dxa"/>
        </w:tcPr>
        <w:p w:rsidR="00023CDE" w:rsidRPr="00E534A0" w:rsidRDefault="00042B51" w:rsidP="00E958AF">
          <w:pPr>
            <w:pStyle w:val="Logo"/>
          </w:pPr>
          <w:r>
            <w:rPr>
              <w:lang w:val="fr-FR" w:eastAsia="fr-FR"/>
            </w:rPr>
            <w:drawing>
              <wp:inline distT="0" distB="0" distL="0" distR="0">
                <wp:extent cx="1981200" cy="485775"/>
                <wp:effectExtent l="19050" t="0" r="0" b="0"/>
                <wp:docPr id="2" name="Picture 2" descr="Bund_RGB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nd_RGB_pos"/>
                        <pic:cNvPicPr>
                          <a:picLocks noChangeAspect="1" noChangeArrowheads="1"/>
                        </pic:cNvPicPr>
                      </pic:nvPicPr>
                      <pic:blipFill>
                        <a:blip r:embed="rId1"/>
                        <a:srcRect/>
                        <a:stretch>
                          <a:fillRect/>
                        </a:stretch>
                      </pic:blipFill>
                      <pic:spPr bwMode="auto">
                        <a:xfrm>
                          <a:off x="0" y="0"/>
                          <a:ext cx="1981200" cy="485775"/>
                        </a:xfrm>
                        <a:prstGeom prst="rect">
                          <a:avLst/>
                        </a:prstGeom>
                        <a:noFill/>
                        <a:ln w="9525">
                          <a:noFill/>
                          <a:miter lim="800000"/>
                          <a:headEnd/>
                          <a:tailEnd/>
                        </a:ln>
                      </pic:spPr>
                    </pic:pic>
                  </a:graphicData>
                </a:graphic>
              </wp:inline>
            </w:drawing>
          </w:r>
        </w:p>
      </w:tc>
      <w:tc>
        <w:tcPr>
          <w:tcW w:w="4961" w:type="dxa"/>
        </w:tcPr>
        <w:p w:rsidR="00023CDE" w:rsidRPr="00A60A5F" w:rsidRDefault="00023CDE" w:rsidP="00E958AF">
          <w:pPr>
            <w:pStyle w:val="KopfDept"/>
            <w:rPr>
              <w:lang w:val="fr-CH"/>
            </w:rPr>
          </w:pPr>
          <w:r w:rsidRPr="00A60A5F">
            <w:rPr>
              <w:lang w:val="fr-CH"/>
            </w:rPr>
            <w:t xml:space="preserve">Département fédéral des affaires étrangères DFAE </w:t>
          </w:r>
        </w:p>
        <w:p w:rsidR="00023CDE" w:rsidRPr="00A60A5F" w:rsidRDefault="00023CDE" w:rsidP="00E958AF">
          <w:pPr>
            <w:pStyle w:val="En-tte"/>
            <w:rPr>
              <w:b/>
              <w:sz w:val="16"/>
              <w:szCs w:val="16"/>
              <w:lang w:val="fr-CH"/>
            </w:rPr>
          </w:pPr>
          <w:r w:rsidRPr="00A60A5F">
            <w:rPr>
              <w:b/>
              <w:lang w:val="fr-CH"/>
            </w:rPr>
            <w:t>Direction du développement et de la coopération DDC</w:t>
          </w:r>
        </w:p>
        <w:p w:rsidR="00023CDE" w:rsidRPr="00EC3A01" w:rsidRDefault="00023CDE" w:rsidP="00E958AF">
          <w:pPr>
            <w:pStyle w:val="En-tte"/>
            <w:tabs>
              <w:tab w:val="center" w:pos="2372"/>
            </w:tabs>
            <w:rPr>
              <w:lang w:val="en-GB"/>
            </w:rPr>
          </w:pPr>
          <w:r>
            <w:t>Aide humanitaire et CSA</w:t>
          </w:r>
        </w:p>
      </w:tc>
    </w:tr>
  </w:tbl>
  <w:p w:rsidR="00023CDE" w:rsidRDefault="00023CDE">
    <w:pPr>
      <w:pStyle w:val="En-tte"/>
    </w:pP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2911EB4"/>
    <w:multiLevelType w:val="hybridMultilevel"/>
    <w:tmpl w:val="0A14EDFE"/>
    <w:lvl w:ilvl="0" w:tplc="0A42C836">
      <w:numFmt w:val="bullet"/>
      <w:lvlText w:val="-"/>
      <w:lvlJc w:val="left"/>
      <w:pPr>
        <w:tabs>
          <w:tab w:val="num" w:pos="720"/>
        </w:tabs>
        <w:ind w:left="720" w:hanging="360"/>
      </w:pPr>
      <w:rPr>
        <w:rFonts w:ascii="Times New Roman" w:eastAsia="Times New Roman" w:hAnsi="Times New Roman" w:cs="Times New Roman" w:hint="default"/>
      </w:rPr>
    </w:lvl>
    <w:lvl w:ilvl="1" w:tplc="08070003">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
    <w:nsid w:val="0D2319E9"/>
    <w:multiLevelType w:val="multilevel"/>
    <w:tmpl w:val="55447F0E"/>
    <w:lvl w:ilvl="0">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
    <w:nsid w:val="143742DE"/>
    <w:multiLevelType w:val="multilevel"/>
    <w:tmpl w:val="5E1830E0"/>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
    <w:nsid w:val="1B245AC7"/>
    <w:multiLevelType w:val="hybridMultilevel"/>
    <w:tmpl w:val="B52CDE0E"/>
    <w:lvl w:ilvl="0" w:tplc="0A42C836">
      <w:numFmt w:val="bullet"/>
      <w:lvlText w:val="-"/>
      <w:lvlJc w:val="left"/>
      <w:pPr>
        <w:tabs>
          <w:tab w:val="num" w:pos="360"/>
        </w:tabs>
        <w:ind w:left="360" w:hanging="360"/>
      </w:pPr>
      <w:rPr>
        <w:rFonts w:ascii="Times New Roman" w:eastAsia="Times New Roman" w:hAnsi="Times New Roman" w:cs="Times New Roman"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4">
    <w:nsid w:val="1F220AA9"/>
    <w:multiLevelType w:val="hybridMultilevel"/>
    <w:tmpl w:val="6B7E3416"/>
    <w:lvl w:ilvl="0" w:tplc="0A42C836">
      <w:numFmt w:val="bullet"/>
      <w:lvlText w:val="-"/>
      <w:lvlJc w:val="left"/>
      <w:pPr>
        <w:tabs>
          <w:tab w:val="num" w:pos="360"/>
        </w:tabs>
        <w:ind w:left="360" w:hanging="360"/>
      </w:pPr>
      <w:rPr>
        <w:rFonts w:ascii="Times New Roman" w:eastAsia="Times New Roman" w:hAnsi="Times New Roman" w:cs="Times New Roman"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5">
    <w:nsid w:val="28545F38"/>
    <w:multiLevelType w:val="hybridMultilevel"/>
    <w:tmpl w:val="4D6EE36E"/>
    <w:lvl w:ilvl="0" w:tplc="08070001">
      <w:start w:val="1"/>
      <w:numFmt w:val="bullet"/>
      <w:lvlText w:val=""/>
      <w:lvlJc w:val="left"/>
      <w:pPr>
        <w:tabs>
          <w:tab w:val="num" w:pos="360"/>
        </w:tabs>
        <w:ind w:left="360" w:hanging="360"/>
      </w:pPr>
      <w:rPr>
        <w:rFonts w:ascii="Symbol" w:hAnsi="Symbol"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6">
    <w:nsid w:val="345D0159"/>
    <w:multiLevelType w:val="multilevel"/>
    <w:tmpl w:val="6D0C0762"/>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nsid w:val="35E54C4B"/>
    <w:multiLevelType w:val="hybridMultilevel"/>
    <w:tmpl w:val="5E1830E0"/>
    <w:lvl w:ilvl="0" w:tplc="08070001">
      <w:start w:val="1"/>
      <w:numFmt w:val="bullet"/>
      <w:lvlText w:val=""/>
      <w:lvlJc w:val="left"/>
      <w:pPr>
        <w:tabs>
          <w:tab w:val="num" w:pos="360"/>
        </w:tabs>
        <w:ind w:left="360" w:hanging="360"/>
      </w:pPr>
      <w:rPr>
        <w:rFonts w:ascii="Symbol" w:hAnsi="Symbol" w:hint="default"/>
      </w:rPr>
    </w:lvl>
    <w:lvl w:ilvl="1" w:tplc="08070003">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8">
    <w:nsid w:val="3E0334F9"/>
    <w:multiLevelType w:val="hybridMultilevel"/>
    <w:tmpl w:val="6D0C0762"/>
    <w:lvl w:ilvl="0" w:tplc="08070001">
      <w:start w:val="1"/>
      <w:numFmt w:val="bullet"/>
      <w:lvlText w:val=""/>
      <w:lvlJc w:val="left"/>
      <w:pPr>
        <w:tabs>
          <w:tab w:val="num" w:pos="360"/>
        </w:tabs>
        <w:ind w:left="360" w:hanging="360"/>
      </w:pPr>
      <w:rPr>
        <w:rFonts w:ascii="Symbol" w:hAnsi="Symbol" w:hint="default"/>
      </w:rPr>
    </w:lvl>
    <w:lvl w:ilvl="1" w:tplc="08070003">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9">
    <w:nsid w:val="3EAB68B6"/>
    <w:multiLevelType w:val="hybridMultilevel"/>
    <w:tmpl w:val="C218A4D0"/>
    <w:lvl w:ilvl="0" w:tplc="0A42C836">
      <w:numFmt w:val="bullet"/>
      <w:lvlText w:val="-"/>
      <w:lvlJc w:val="left"/>
      <w:pPr>
        <w:tabs>
          <w:tab w:val="num" w:pos="360"/>
        </w:tabs>
        <w:ind w:left="360" w:hanging="360"/>
      </w:pPr>
      <w:rPr>
        <w:rFonts w:ascii="Times New Roman" w:eastAsia="Times New Roman" w:hAnsi="Times New Roman" w:cs="Times New Roman"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10">
    <w:nsid w:val="42C07B76"/>
    <w:multiLevelType w:val="hybridMultilevel"/>
    <w:tmpl w:val="611CD2B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nsid w:val="48BB724A"/>
    <w:multiLevelType w:val="hybridMultilevel"/>
    <w:tmpl w:val="A26EE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47B38E1"/>
    <w:multiLevelType w:val="hybridMultilevel"/>
    <w:tmpl w:val="79C4E4DC"/>
    <w:lvl w:ilvl="0" w:tplc="0A42C836">
      <w:numFmt w:val="bullet"/>
      <w:lvlText w:val="-"/>
      <w:lvlJc w:val="left"/>
      <w:pPr>
        <w:tabs>
          <w:tab w:val="num" w:pos="360"/>
        </w:tabs>
        <w:ind w:left="360" w:hanging="360"/>
      </w:pPr>
      <w:rPr>
        <w:rFonts w:ascii="Times New Roman" w:eastAsia="Times New Roman" w:hAnsi="Times New Roman" w:cs="Times New Roman"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13">
    <w:nsid w:val="55B66EDA"/>
    <w:multiLevelType w:val="hybridMultilevel"/>
    <w:tmpl w:val="E6029636"/>
    <w:lvl w:ilvl="0" w:tplc="0A42C836">
      <w:numFmt w:val="bullet"/>
      <w:lvlText w:val="-"/>
      <w:lvlJc w:val="left"/>
      <w:pPr>
        <w:tabs>
          <w:tab w:val="num" w:pos="360"/>
        </w:tabs>
        <w:ind w:left="360" w:hanging="360"/>
      </w:pPr>
      <w:rPr>
        <w:rFonts w:ascii="Times New Roman" w:eastAsia="Times New Roman" w:hAnsi="Times New Roman" w:cs="Times New Roman"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14">
    <w:nsid w:val="57146F01"/>
    <w:multiLevelType w:val="hybridMultilevel"/>
    <w:tmpl w:val="80104DE6"/>
    <w:lvl w:ilvl="0" w:tplc="0A42C836">
      <w:numFmt w:val="bullet"/>
      <w:lvlText w:val="-"/>
      <w:lvlJc w:val="left"/>
      <w:pPr>
        <w:tabs>
          <w:tab w:val="num" w:pos="720"/>
        </w:tabs>
        <w:ind w:left="720" w:hanging="360"/>
      </w:pPr>
      <w:rPr>
        <w:rFonts w:ascii="Times New Roman" w:eastAsia="Times New Roman" w:hAnsi="Times New Roman" w:cs="Times New Roman" w:hint="default"/>
      </w:rPr>
    </w:lvl>
    <w:lvl w:ilvl="1" w:tplc="08070003">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5">
    <w:nsid w:val="5E680694"/>
    <w:multiLevelType w:val="hybridMultilevel"/>
    <w:tmpl w:val="F2DEDA10"/>
    <w:lvl w:ilvl="0" w:tplc="0A42C836">
      <w:numFmt w:val="bullet"/>
      <w:lvlText w:val="-"/>
      <w:lvlJc w:val="left"/>
      <w:pPr>
        <w:tabs>
          <w:tab w:val="num" w:pos="360"/>
        </w:tabs>
        <w:ind w:left="360" w:hanging="360"/>
      </w:pPr>
      <w:rPr>
        <w:rFonts w:ascii="Times New Roman" w:eastAsia="Times New Roman" w:hAnsi="Times New Roman" w:cs="Times New Roman" w:hint="default"/>
      </w:rPr>
    </w:lvl>
    <w:lvl w:ilvl="1" w:tplc="08070003">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16">
    <w:nsid w:val="610136EE"/>
    <w:multiLevelType w:val="multilevel"/>
    <w:tmpl w:val="80104DE6"/>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620C2843"/>
    <w:multiLevelType w:val="hybridMultilevel"/>
    <w:tmpl w:val="A8EAA3F0"/>
    <w:lvl w:ilvl="0" w:tplc="0807000F">
      <w:start w:val="1"/>
      <w:numFmt w:val="decimal"/>
      <w:lvlText w:val="%1."/>
      <w:lvlJc w:val="left"/>
      <w:pPr>
        <w:tabs>
          <w:tab w:val="num" w:pos="360"/>
        </w:tabs>
        <w:ind w:left="360" w:hanging="360"/>
      </w:pPr>
      <w:rPr>
        <w:rFonts w:hint="default"/>
      </w:rPr>
    </w:lvl>
    <w:lvl w:ilvl="1" w:tplc="08070003">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18">
    <w:nsid w:val="660E6F6F"/>
    <w:multiLevelType w:val="hybridMultilevel"/>
    <w:tmpl w:val="83F6DD08"/>
    <w:lvl w:ilvl="0" w:tplc="0A42C836">
      <w:numFmt w:val="bullet"/>
      <w:lvlText w:val="-"/>
      <w:lvlJc w:val="left"/>
      <w:pPr>
        <w:tabs>
          <w:tab w:val="num" w:pos="360"/>
        </w:tabs>
        <w:ind w:left="360" w:hanging="360"/>
      </w:pPr>
      <w:rPr>
        <w:rFonts w:ascii="Times New Roman" w:eastAsia="Times New Roman" w:hAnsi="Times New Roman" w:cs="Times New Roman" w:hint="default"/>
      </w:rPr>
    </w:lvl>
    <w:lvl w:ilvl="1" w:tplc="08070003">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19">
    <w:nsid w:val="712151F8"/>
    <w:multiLevelType w:val="hybridMultilevel"/>
    <w:tmpl w:val="CDF0013E"/>
    <w:lvl w:ilvl="0" w:tplc="08070001">
      <w:start w:val="1"/>
      <w:numFmt w:val="bullet"/>
      <w:lvlText w:val=""/>
      <w:lvlJc w:val="left"/>
      <w:pPr>
        <w:tabs>
          <w:tab w:val="num" w:pos="360"/>
        </w:tabs>
        <w:ind w:left="360" w:hanging="360"/>
      </w:pPr>
      <w:rPr>
        <w:rFonts w:ascii="Symbol" w:hAnsi="Symbol"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20">
    <w:nsid w:val="759935FD"/>
    <w:multiLevelType w:val="multilevel"/>
    <w:tmpl w:val="5E1830E0"/>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1">
    <w:nsid w:val="76335110"/>
    <w:multiLevelType w:val="multilevel"/>
    <w:tmpl w:val="CDF0013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2">
    <w:nsid w:val="77973FE0"/>
    <w:multiLevelType w:val="multilevel"/>
    <w:tmpl w:val="5970A670"/>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nsid w:val="7AEF00C7"/>
    <w:multiLevelType w:val="multilevel"/>
    <w:tmpl w:val="5E1830E0"/>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4">
    <w:nsid w:val="7B0F4DBC"/>
    <w:multiLevelType w:val="multilevel"/>
    <w:tmpl w:val="5E1830E0"/>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num w:numId="1">
    <w:abstractNumId w:val="8"/>
  </w:num>
  <w:num w:numId="2">
    <w:abstractNumId w:val="19"/>
  </w:num>
  <w:num w:numId="3">
    <w:abstractNumId w:val="5"/>
  </w:num>
  <w:num w:numId="4">
    <w:abstractNumId w:val="7"/>
  </w:num>
  <w:num w:numId="5">
    <w:abstractNumId w:val="17"/>
  </w:num>
  <w:num w:numId="6">
    <w:abstractNumId w:val="12"/>
  </w:num>
  <w:num w:numId="7">
    <w:abstractNumId w:val="13"/>
  </w:num>
  <w:num w:numId="8">
    <w:abstractNumId w:val="6"/>
  </w:num>
  <w:num w:numId="9">
    <w:abstractNumId w:val="18"/>
  </w:num>
  <w:num w:numId="10">
    <w:abstractNumId w:val="24"/>
  </w:num>
  <w:num w:numId="11">
    <w:abstractNumId w:val="20"/>
  </w:num>
  <w:num w:numId="12">
    <w:abstractNumId w:val="23"/>
  </w:num>
  <w:num w:numId="13">
    <w:abstractNumId w:val="1"/>
  </w:num>
  <w:num w:numId="14">
    <w:abstractNumId w:val="2"/>
  </w:num>
  <w:num w:numId="15">
    <w:abstractNumId w:val="22"/>
  </w:num>
  <w:num w:numId="16">
    <w:abstractNumId w:val="21"/>
  </w:num>
  <w:num w:numId="17">
    <w:abstractNumId w:val="4"/>
  </w:num>
  <w:num w:numId="18">
    <w:abstractNumId w:val="15"/>
  </w:num>
  <w:num w:numId="19">
    <w:abstractNumId w:val="3"/>
  </w:num>
  <w:num w:numId="20">
    <w:abstractNumId w:val="14"/>
  </w:num>
  <w:num w:numId="21">
    <w:abstractNumId w:val="16"/>
  </w:num>
  <w:num w:numId="22">
    <w:abstractNumId w:val="0"/>
  </w:num>
  <w:num w:numId="23">
    <w:abstractNumId w:val="9"/>
  </w:num>
  <w:num w:numId="24">
    <w:abstractNumId w:val="10"/>
  </w:num>
  <w:num w:numId="2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footnotePr>
    <w:footnote w:id="0"/>
    <w:footnote w:id="1"/>
  </w:footnotePr>
  <w:endnotePr>
    <w:endnote w:id="0"/>
    <w:endnote w:id="1"/>
  </w:endnotePr>
  <w:compat/>
  <w:rsids>
    <w:rsidRoot w:val="00DE0FC8"/>
    <w:rsid w:val="000021E8"/>
    <w:rsid w:val="000029E5"/>
    <w:rsid w:val="00002B95"/>
    <w:rsid w:val="00003B7F"/>
    <w:rsid w:val="000050B9"/>
    <w:rsid w:val="00005475"/>
    <w:rsid w:val="000066A5"/>
    <w:rsid w:val="00006F79"/>
    <w:rsid w:val="00010061"/>
    <w:rsid w:val="000100AE"/>
    <w:rsid w:val="00010D28"/>
    <w:rsid w:val="00011780"/>
    <w:rsid w:val="00011F59"/>
    <w:rsid w:val="00014A8E"/>
    <w:rsid w:val="0001508C"/>
    <w:rsid w:val="000152BC"/>
    <w:rsid w:val="00015C63"/>
    <w:rsid w:val="00017119"/>
    <w:rsid w:val="00020891"/>
    <w:rsid w:val="00021A56"/>
    <w:rsid w:val="00023978"/>
    <w:rsid w:val="00023CDE"/>
    <w:rsid w:val="0002536D"/>
    <w:rsid w:val="000265E5"/>
    <w:rsid w:val="000274FC"/>
    <w:rsid w:val="00027CD6"/>
    <w:rsid w:val="000314A3"/>
    <w:rsid w:val="00032B47"/>
    <w:rsid w:val="00033C74"/>
    <w:rsid w:val="00034DCF"/>
    <w:rsid w:val="00036ACC"/>
    <w:rsid w:val="0003724B"/>
    <w:rsid w:val="00042B51"/>
    <w:rsid w:val="00043418"/>
    <w:rsid w:val="000446F4"/>
    <w:rsid w:val="00045559"/>
    <w:rsid w:val="000477EC"/>
    <w:rsid w:val="00047FA9"/>
    <w:rsid w:val="0005088E"/>
    <w:rsid w:val="000528E8"/>
    <w:rsid w:val="00052DBC"/>
    <w:rsid w:val="000543EE"/>
    <w:rsid w:val="00054787"/>
    <w:rsid w:val="00055B63"/>
    <w:rsid w:val="0005623F"/>
    <w:rsid w:val="00057418"/>
    <w:rsid w:val="00061EF9"/>
    <w:rsid w:val="000632E3"/>
    <w:rsid w:val="00064F00"/>
    <w:rsid w:val="00065C00"/>
    <w:rsid w:val="00067D76"/>
    <w:rsid w:val="00071E0F"/>
    <w:rsid w:val="00072944"/>
    <w:rsid w:val="00072CAD"/>
    <w:rsid w:val="00073041"/>
    <w:rsid w:val="00073B3D"/>
    <w:rsid w:val="00073D52"/>
    <w:rsid w:val="00074118"/>
    <w:rsid w:val="000745E0"/>
    <w:rsid w:val="0007543B"/>
    <w:rsid w:val="000757F9"/>
    <w:rsid w:val="00075FDC"/>
    <w:rsid w:val="00076357"/>
    <w:rsid w:val="000765AC"/>
    <w:rsid w:val="00076BB4"/>
    <w:rsid w:val="00077106"/>
    <w:rsid w:val="00080CFC"/>
    <w:rsid w:val="00083F84"/>
    <w:rsid w:val="00084406"/>
    <w:rsid w:val="00085B67"/>
    <w:rsid w:val="00085BBF"/>
    <w:rsid w:val="000877C5"/>
    <w:rsid w:val="00087C9A"/>
    <w:rsid w:val="00090B4A"/>
    <w:rsid w:val="00092A11"/>
    <w:rsid w:val="000947A1"/>
    <w:rsid w:val="00095A83"/>
    <w:rsid w:val="00095E84"/>
    <w:rsid w:val="000962C4"/>
    <w:rsid w:val="000975F3"/>
    <w:rsid w:val="00097966"/>
    <w:rsid w:val="00097DA7"/>
    <w:rsid w:val="00097E61"/>
    <w:rsid w:val="000A1453"/>
    <w:rsid w:val="000A2FD6"/>
    <w:rsid w:val="000A3108"/>
    <w:rsid w:val="000A3C13"/>
    <w:rsid w:val="000A61D9"/>
    <w:rsid w:val="000A6286"/>
    <w:rsid w:val="000A6ED0"/>
    <w:rsid w:val="000A7114"/>
    <w:rsid w:val="000B02A3"/>
    <w:rsid w:val="000B04D3"/>
    <w:rsid w:val="000B0F27"/>
    <w:rsid w:val="000B2646"/>
    <w:rsid w:val="000B2C5A"/>
    <w:rsid w:val="000B31A2"/>
    <w:rsid w:val="000B3903"/>
    <w:rsid w:val="000B4E2F"/>
    <w:rsid w:val="000B54A3"/>
    <w:rsid w:val="000B7909"/>
    <w:rsid w:val="000C1666"/>
    <w:rsid w:val="000C2772"/>
    <w:rsid w:val="000C36BE"/>
    <w:rsid w:val="000C5610"/>
    <w:rsid w:val="000C7A37"/>
    <w:rsid w:val="000C7C0C"/>
    <w:rsid w:val="000C7F33"/>
    <w:rsid w:val="000D12A1"/>
    <w:rsid w:val="000D2CE2"/>
    <w:rsid w:val="000D362A"/>
    <w:rsid w:val="000D3CC4"/>
    <w:rsid w:val="000D4353"/>
    <w:rsid w:val="000D44CE"/>
    <w:rsid w:val="000D4F3B"/>
    <w:rsid w:val="000D5233"/>
    <w:rsid w:val="000D585C"/>
    <w:rsid w:val="000D67DE"/>
    <w:rsid w:val="000D7302"/>
    <w:rsid w:val="000D7A0A"/>
    <w:rsid w:val="000D7F50"/>
    <w:rsid w:val="000E1494"/>
    <w:rsid w:val="000E1B82"/>
    <w:rsid w:val="000E2102"/>
    <w:rsid w:val="000E4102"/>
    <w:rsid w:val="000E43C3"/>
    <w:rsid w:val="000E477F"/>
    <w:rsid w:val="000E4B31"/>
    <w:rsid w:val="000E5AC3"/>
    <w:rsid w:val="000E7088"/>
    <w:rsid w:val="000E74E1"/>
    <w:rsid w:val="000F428E"/>
    <w:rsid w:val="000F4394"/>
    <w:rsid w:val="000F4ECC"/>
    <w:rsid w:val="000F53E0"/>
    <w:rsid w:val="000F556E"/>
    <w:rsid w:val="000F58C7"/>
    <w:rsid w:val="000F694A"/>
    <w:rsid w:val="00104386"/>
    <w:rsid w:val="00106EDC"/>
    <w:rsid w:val="00107223"/>
    <w:rsid w:val="00110AF0"/>
    <w:rsid w:val="00113CE0"/>
    <w:rsid w:val="0011529A"/>
    <w:rsid w:val="001159A3"/>
    <w:rsid w:val="00115AF7"/>
    <w:rsid w:val="00116BB2"/>
    <w:rsid w:val="0011701C"/>
    <w:rsid w:val="00120CBB"/>
    <w:rsid w:val="00121447"/>
    <w:rsid w:val="0012296E"/>
    <w:rsid w:val="001251A4"/>
    <w:rsid w:val="00125DC3"/>
    <w:rsid w:val="00126241"/>
    <w:rsid w:val="00126CFF"/>
    <w:rsid w:val="00127431"/>
    <w:rsid w:val="00127838"/>
    <w:rsid w:val="00127957"/>
    <w:rsid w:val="00130259"/>
    <w:rsid w:val="00130936"/>
    <w:rsid w:val="00131027"/>
    <w:rsid w:val="00135CF8"/>
    <w:rsid w:val="00136FD3"/>
    <w:rsid w:val="00140B83"/>
    <w:rsid w:val="00140CD8"/>
    <w:rsid w:val="00144298"/>
    <w:rsid w:val="0014571B"/>
    <w:rsid w:val="00150BF3"/>
    <w:rsid w:val="001521FA"/>
    <w:rsid w:val="00153A10"/>
    <w:rsid w:val="00154FBD"/>
    <w:rsid w:val="00160109"/>
    <w:rsid w:val="00161184"/>
    <w:rsid w:val="00161EB8"/>
    <w:rsid w:val="00162FA5"/>
    <w:rsid w:val="00163582"/>
    <w:rsid w:val="00163C3F"/>
    <w:rsid w:val="0016444D"/>
    <w:rsid w:val="00164E96"/>
    <w:rsid w:val="0016676B"/>
    <w:rsid w:val="001668D6"/>
    <w:rsid w:val="00166B25"/>
    <w:rsid w:val="0016758C"/>
    <w:rsid w:val="001676AB"/>
    <w:rsid w:val="00167C1A"/>
    <w:rsid w:val="001707F7"/>
    <w:rsid w:val="00172B44"/>
    <w:rsid w:val="00172F31"/>
    <w:rsid w:val="00173356"/>
    <w:rsid w:val="00174215"/>
    <w:rsid w:val="00174A2C"/>
    <w:rsid w:val="00175F20"/>
    <w:rsid w:val="0017784D"/>
    <w:rsid w:val="00181B10"/>
    <w:rsid w:val="00181FEF"/>
    <w:rsid w:val="0018240C"/>
    <w:rsid w:val="001847A2"/>
    <w:rsid w:val="001856F1"/>
    <w:rsid w:val="00186B24"/>
    <w:rsid w:val="00187552"/>
    <w:rsid w:val="00191694"/>
    <w:rsid w:val="00193504"/>
    <w:rsid w:val="00194912"/>
    <w:rsid w:val="001965C2"/>
    <w:rsid w:val="001968A2"/>
    <w:rsid w:val="00196C44"/>
    <w:rsid w:val="001976CD"/>
    <w:rsid w:val="00197956"/>
    <w:rsid w:val="00197C0C"/>
    <w:rsid w:val="001A037C"/>
    <w:rsid w:val="001A0FF1"/>
    <w:rsid w:val="001A1293"/>
    <w:rsid w:val="001A16EA"/>
    <w:rsid w:val="001A1D88"/>
    <w:rsid w:val="001A1F3D"/>
    <w:rsid w:val="001A2D11"/>
    <w:rsid w:val="001A327B"/>
    <w:rsid w:val="001A35D2"/>
    <w:rsid w:val="001A57CB"/>
    <w:rsid w:val="001A5BC4"/>
    <w:rsid w:val="001A5F08"/>
    <w:rsid w:val="001A6C8A"/>
    <w:rsid w:val="001A7D40"/>
    <w:rsid w:val="001B2257"/>
    <w:rsid w:val="001B22A7"/>
    <w:rsid w:val="001B37DC"/>
    <w:rsid w:val="001B4246"/>
    <w:rsid w:val="001B7AC2"/>
    <w:rsid w:val="001C0638"/>
    <w:rsid w:val="001C4696"/>
    <w:rsid w:val="001C4933"/>
    <w:rsid w:val="001C6C02"/>
    <w:rsid w:val="001D14EA"/>
    <w:rsid w:val="001D3FD0"/>
    <w:rsid w:val="001D4D01"/>
    <w:rsid w:val="001D7474"/>
    <w:rsid w:val="001E18CC"/>
    <w:rsid w:val="001E1EFB"/>
    <w:rsid w:val="001E55EA"/>
    <w:rsid w:val="001E579E"/>
    <w:rsid w:val="001F0B03"/>
    <w:rsid w:val="001F423D"/>
    <w:rsid w:val="001F532C"/>
    <w:rsid w:val="001F58C2"/>
    <w:rsid w:val="001F5B75"/>
    <w:rsid w:val="001F69BC"/>
    <w:rsid w:val="001F6E8F"/>
    <w:rsid w:val="001F77B9"/>
    <w:rsid w:val="00200A34"/>
    <w:rsid w:val="002036A8"/>
    <w:rsid w:val="002037E0"/>
    <w:rsid w:val="002044EB"/>
    <w:rsid w:val="002047EE"/>
    <w:rsid w:val="002052A8"/>
    <w:rsid w:val="00205379"/>
    <w:rsid w:val="00205F97"/>
    <w:rsid w:val="002070A2"/>
    <w:rsid w:val="002076D2"/>
    <w:rsid w:val="00211A3D"/>
    <w:rsid w:val="00212D42"/>
    <w:rsid w:val="002140F3"/>
    <w:rsid w:val="002144D5"/>
    <w:rsid w:val="00214DFD"/>
    <w:rsid w:val="00216903"/>
    <w:rsid w:val="00217602"/>
    <w:rsid w:val="00217B0C"/>
    <w:rsid w:val="00220148"/>
    <w:rsid w:val="0022217E"/>
    <w:rsid w:val="00222217"/>
    <w:rsid w:val="002228C7"/>
    <w:rsid w:val="00222A9B"/>
    <w:rsid w:val="0022313C"/>
    <w:rsid w:val="00223ABA"/>
    <w:rsid w:val="00224165"/>
    <w:rsid w:val="00224E6B"/>
    <w:rsid w:val="0022663B"/>
    <w:rsid w:val="002271C9"/>
    <w:rsid w:val="00230CCD"/>
    <w:rsid w:val="002312DE"/>
    <w:rsid w:val="00231899"/>
    <w:rsid w:val="002331A3"/>
    <w:rsid w:val="002332D8"/>
    <w:rsid w:val="0023529E"/>
    <w:rsid w:val="00237AC3"/>
    <w:rsid w:val="00240889"/>
    <w:rsid w:val="00240B33"/>
    <w:rsid w:val="002413D4"/>
    <w:rsid w:val="002415EF"/>
    <w:rsid w:val="00241645"/>
    <w:rsid w:val="00241B93"/>
    <w:rsid w:val="0024487B"/>
    <w:rsid w:val="0024497B"/>
    <w:rsid w:val="00245A74"/>
    <w:rsid w:val="00247874"/>
    <w:rsid w:val="0025036B"/>
    <w:rsid w:val="00251209"/>
    <w:rsid w:val="002514C6"/>
    <w:rsid w:val="00253BCB"/>
    <w:rsid w:val="002545E5"/>
    <w:rsid w:val="00254877"/>
    <w:rsid w:val="002549CC"/>
    <w:rsid w:val="00255BAE"/>
    <w:rsid w:val="002561B4"/>
    <w:rsid w:val="00256C3E"/>
    <w:rsid w:val="00256C41"/>
    <w:rsid w:val="00256E8C"/>
    <w:rsid w:val="0026029F"/>
    <w:rsid w:val="00260A4E"/>
    <w:rsid w:val="00262A5B"/>
    <w:rsid w:val="00263CB1"/>
    <w:rsid w:val="00263D87"/>
    <w:rsid w:val="00265033"/>
    <w:rsid w:val="0026773C"/>
    <w:rsid w:val="0027066A"/>
    <w:rsid w:val="00271E8F"/>
    <w:rsid w:val="00272673"/>
    <w:rsid w:val="0027308B"/>
    <w:rsid w:val="00273F15"/>
    <w:rsid w:val="0027489B"/>
    <w:rsid w:val="0027769D"/>
    <w:rsid w:val="00277F2C"/>
    <w:rsid w:val="00281806"/>
    <w:rsid w:val="00282699"/>
    <w:rsid w:val="00283277"/>
    <w:rsid w:val="0028678E"/>
    <w:rsid w:val="00286D4A"/>
    <w:rsid w:val="00287DBC"/>
    <w:rsid w:val="00290077"/>
    <w:rsid w:val="00290CE6"/>
    <w:rsid w:val="00292D27"/>
    <w:rsid w:val="00293047"/>
    <w:rsid w:val="0029312E"/>
    <w:rsid w:val="00293435"/>
    <w:rsid w:val="0029347F"/>
    <w:rsid w:val="00294143"/>
    <w:rsid w:val="00294D33"/>
    <w:rsid w:val="002951EB"/>
    <w:rsid w:val="00295AC8"/>
    <w:rsid w:val="00295D87"/>
    <w:rsid w:val="00296214"/>
    <w:rsid w:val="002972A6"/>
    <w:rsid w:val="00297DEF"/>
    <w:rsid w:val="002A3C04"/>
    <w:rsid w:val="002A7585"/>
    <w:rsid w:val="002A78ED"/>
    <w:rsid w:val="002B097A"/>
    <w:rsid w:val="002B1936"/>
    <w:rsid w:val="002B242A"/>
    <w:rsid w:val="002B24CE"/>
    <w:rsid w:val="002B448E"/>
    <w:rsid w:val="002B49AC"/>
    <w:rsid w:val="002B4CC3"/>
    <w:rsid w:val="002B76FE"/>
    <w:rsid w:val="002C3A0B"/>
    <w:rsid w:val="002C5DC1"/>
    <w:rsid w:val="002C6165"/>
    <w:rsid w:val="002C6E70"/>
    <w:rsid w:val="002C74C9"/>
    <w:rsid w:val="002D153B"/>
    <w:rsid w:val="002D38CC"/>
    <w:rsid w:val="002D4376"/>
    <w:rsid w:val="002D4C61"/>
    <w:rsid w:val="002D4F19"/>
    <w:rsid w:val="002D589E"/>
    <w:rsid w:val="002D63EC"/>
    <w:rsid w:val="002D70F2"/>
    <w:rsid w:val="002E1993"/>
    <w:rsid w:val="002E3944"/>
    <w:rsid w:val="002E4205"/>
    <w:rsid w:val="002E5331"/>
    <w:rsid w:val="002E5E63"/>
    <w:rsid w:val="002E692F"/>
    <w:rsid w:val="002E6D53"/>
    <w:rsid w:val="002E76FB"/>
    <w:rsid w:val="002F0054"/>
    <w:rsid w:val="002F0142"/>
    <w:rsid w:val="002F01AE"/>
    <w:rsid w:val="002F0410"/>
    <w:rsid w:val="002F1250"/>
    <w:rsid w:val="002F23A5"/>
    <w:rsid w:val="002F2558"/>
    <w:rsid w:val="002F514D"/>
    <w:rsid w:val="002F56B8"/>
    <w:rsid w:val="002F6832"/>
    <w:rsid w:val="002F6953"/>
    <w:rsid w:val="00305646"/>
    <w:rsid w:val="0030573C"/>
    <w:rsid w:val="003058D7"/>
    <w:rsid w:val="003059AA"/>
    <w:rsid w:val="00305F60"/>
    <w:rsid w:val="00306102"/>
    <w:rsid w:val="0030621C"/>
    <w:rsid w:val="00306517"/>
    <w:rsid w:val="0030784A"/>
    <w:rsid w:val="00307C2D"/>
    <w:rsid w:val="00307CB0"/>
    <w:rsid w:val="0031056D"/>
    <w:rsid w:val="00311615"/>
    <w:rsid w:val="00311817"/>
    <w:rsid w:val="00312024"/>
    <w:rsid w:val="00313056"/>
    <w:rsid w:val="003132FA"/>
    <w:rsid w:val="00314F39"/>
    <w:rsid w:val="0031543C"/>
    <w:rsid w:val="00315E70"/>
    <w:rsid w:val="00321286"/>
    <w:rsid w:val="00323686"/>
    <w:rsid w:val="00323A2E"/>
    <w:rsid w:val="00324D4D"/>
    <w:rsid w:val="00325BD3"/>
    <w:rsid w:val="00330DA7"/>
    <w:rsid w:val="00330F5C"/>
    <w:rsid w:val="0033417F"/>
    <w:rsid w:val="0033509B"/>
    <w:rsid w:val="00335456"/>
    <w:rsid w:val="00336814"/>
    <w:rsid w:val="003402D9"/>
    <w:rsid w:val="00341F89"/>
    <w:rsid w:val="00342B65"/>
    <w:rsid w:val="00344022"/>
    <w:rsid w:val="00344A6F"/>
    <w:rsid w:val="00344C97"/>
    <w:rsid w:val="003460BF"/>
    <w:rsid w:val="00347C5E"/>
    <w:rsid w:val="003509F4"/>
    <w:rsid w:val="00351BAE"/>
    <w:rsid w:val="003520B3"/>
    <w:rsid w:val="00352B33"/>
    <w:rsid w:val="00353D4F"/>
    <w:rsid w:val="00354311"/>
    <w:rsid w:val="00354C7E"/>
    <w:rsid w:val="00355388"/>
    <w:rsid w:val="0035573A"/>
    <w:rsid w:val="003566C9"/>
    <w:rsid w:val="00362476"/>
    <w:rsid w:val="0036315A"/>
    <w:rsid w:val="0036327C"/>
    <w:rsid w:val="00363453"/>
    <w:rsid w:val="00363497"/>
    <w:rsid w:val="0036352A"/>
    <w:rsid w:val="0036495B"/>
    <w:rsid w:val="00364EAF"/>
    <w:rsid w:val="00364FFC"/>
    <w:rsid w:val="0036590D"/>
    <w:rsid w:val="00367DAA"/>
    <w:rsid w:val="0037005E"/>
    <w:rsid w:val="003705F6"/>
    <w:rsid w:val="00370889"/>
    <w:rsid w:val="00371A56"/>
    <w:rsid w:val="00372164"/>
    <w:rsid w:val="00372490"/>
    <w:rsid w:val="0037298B"/>
    <w:rsid w:val="00374277"/>
    <w:rsid w:val="0037474E"/>
    <w:rsid w:val="0037525F"/>
    <w:rsid w:val="00377FED"/>
    <w:rsid w:val="003803D3"/>
    <w:rsid w:val="00380FE9"/>
    <w:rsid w:val="0038182C"/>
    <w:rsid w:val="00381A2C"/>
    <w:rsid w:val="00381DB7"/>
    <w:rsid w:val="003821BC"/>
    <w:rsid w:val="0038274B"/>
    <w:rsid w:val="00382D76"/>
    <w:rsid w:val="00382E21"/>
    <w:rsid w:val="00383066"/>
    <w:rsid w:val="00384887"/>
    <w:rsid w:val="0038499D"/>
    <w:rsid w:val="00385124"/>
    <w:rsid w:val="00387CA8"/>
    <w:rsid w:val="00390460"/>
    <w:rsid w:val="00390D2C"/>
    <w:rsid w:val="00391AE1"/>
    <w:rsid w:val="003963D8"/>
    <w:rsid w:val="00396514"/>
    <w:rsid w:val="0039659A"/>
    <w:rsid w:val="00396F00"/>
    <w:rsid w:val="003A028F"/>
    <w:rsid w:val="003A1E5A"/>
    <w:rsid w:val="003A2192"/>
    <w:rsid w:val="003A22F5"/>
    <w:rsid w:val="003A3053"/>
    <w:rsid w:val="003A341A"/>
    <w:rsid w:val="003A3B6C"/>
    <w:rsid w:val="003A474D"/>
    <w:rsid w:val="003A6709"/>
    <w:rsid w:val="003B0BB4"/>
    <w:rsid w:val="003B1E59"/>
    <w:rsid w:val="003B327F"/>
    <w:rsid w:val="003B3BBB"/>
    <w:rsid w:val="003C03F8"/>
    <w:rsid w:val="003C07AB"/>
    <w:rsid w:val="003C0F08"/>
    <w:rsid w:val="003C14F5"/>
    <w:rsid w:val="003C1FA0"/>
    <w:rsid w:val="003C278D"/>
    <w:rsid w:val="003C4479"/>
    <w:rsid w:val="003C62F1"/>
    <w:rsid w:val="003C6721"/>
    <w:rsid w:val="003C7230"/>
    <w:rsid w:val="003D15C9"/>
    <w:rsid w:val="003D2775"/>
    <w:rsid w:val="003D310B"/>
    <w:rsid w:val="003D3BB9"/>
    <w:rsid w:val="003D3F62"/>
    <w:rsid w:val="003D6BF4"/>
    <w:rsid w:val="003D70FD"/>
    <w:rsid w:val="003D7722"/>
    <w:rsid w:val="003D7982"/>
    <w:rsid w:val="003E12C8"/>
    <w:rsid w:val="003E1534"/>
    <w:rsid w:val="003E15DE"/>
    <w:rsid w:val="003E1CCB"/>
    <w:rsid w:val="003E6EBC"/>
    <w:rsid w:val="003F0563"/>
    <w:rsid w:val="003F0D75"/>
    <w:rsid w:val="003F1751"/>
    <w:rsid w:val="003F1E4F"/>
    <w:rsid w:val="003F323E"/>
    <w:rsid w:val="003F4397"/>
    <w:rsid w:val="003F5396"/>
    <w:rsid w:val="003F5C4B"/>
    <w:rsid w:val="003F5E39"/>
    <w:rsid w:val="003F61E7"/>
    <w:rsid w:val="004020AD"/>
    <w:rsid w:val="00403697"/>
    <w:rsid w:val="00411398"/>
    <w:rsid w:val="00411AD5"/>
    <w:rsid w:val="00412C1B"/>
    <w:rsid w:val="00414AFC"/>
    <w:rsid w:val="004159B8"/>
    <w:rsid w:val="00416BA6"/>
    <w:rsid w:val="0041737E"/>
    <w:rsid w:val="00417A89"/>
    <w:rsid w:val="00421151"/>
    <w:rsid w:val="00422135"/>
    <w:rsid w:val="00422F73"/>
    <w:rsid w:val="0042593B"/>
    <w:rsid w:val="00426AFC"/>
    <w:rsid w:val="00426E85"/>
    <w:rsid w:val="00427BF2"/>
    <w:rsid w:val="00430D80"/>
    <w:rsid w:val="004334F8"/>
    <w:rsid w:val="0043415F"/>
    <w:rsid w:val="004367CC"/>
    <w:rsid w:val="00437900"/>
    <w:rsid w:val="004422E4"/>
    <w:rsid w:val="00442F51"/>
    <w:rsid w:val="004434C1"/>
    <w:rsid w:val="00444F8E"/>
    <w:rsid w:val="0044519E"/>
    <w:rsid w:val="00445565"/>
    <w:rsid w:val="00447AB6"/>
    <w:rsid w:val="00447C16"/>
    <w:rsid w:val="00450C1E"/>
    <w:rsid w:val="004511BA"/>
    <w:rsid w:val="0045280C"/>
    <w:rsid w:val="004529BF"/>
    <w:rsid w:val="004543AF"/>
    <w:rsid w:val="00456085"/>
    <w:rsid w:val="00456EFA"/>
    <w:rsid w:val="004604EB"/>
    <w:rsid w:val="00460E81"/>
    <w:rsid w:val="00462A25"/>
    <w:rsid w:val="00464149"/>
    <w:rsid w:val="00464CB6"/>
    <w:rsid w:val="00465284"/>
    <w:rsid w:val="00465CEF"/>
    <w:rsid w:val="00466B10"/>
    <w:rsid w:val="00467E12"/>
    <w:rsid w:val="0047180C"/>
    <w:rsid w:val="004744B4"/>
    <w:rsid w:val="0047467D"/>
    <w:rsid w:val="00475A08"/>
    <w:rsid w:val="00477C2F"/>
    <w:rsid w:val="004807FC"/>
    <w:rsid w:val="00481C1A"/>
    <w:rsid w:val="00481E8F"/>
    <w:rsid w:val="004820E9"/>
    <w:rsid w:val="004847F3"/>
    <w:rsid w:val="00485256"/>
    <w:rsid w:val="00485604"/>
    <w:rsid w:val="00485767"/>
    <w:rsid w:val="00487661"/>
    <w:rsid w:val="00490AA3"/>
    <w:rsid w:val="004935D6"/>
    <w:rsid w:val="00493C0C"/>
    <w:rsid w:val="00495ED8"/>
    <w:rsid w:val="00496335"/>
    <w:rsid w:val="00496724"/>
    <w:rsid w:val="004976D0"/>
    <w:rsid w:val="004A1628"/>
    <w:rsid w:val="004A1B51"/>
    <w:rsid w:val="004A2240"/>
    <w:rsid w:val="004A27A6"/>
    <w:rsid w:val="004A437C"/>
    <w:rsid w:val="004A578E"/>
    <w:rsid w:val="004B0E13"/>
    <w:rsid w:val="004B1D20"/>
    <w:rsid w:val="004B2158"/>
    <w:rsid w:val="004B2461"/>
    <w:rsid w:val="004B3B1D"/>
    <w:rsid w:val="004B4590"/>
    <w:rsid w:val="004B465B"/>
    <w:rsid w:val="004B53E2"/>
    <w:rsid w:val="004B6F18"/>
    <w:rsid w:val="004B6F1D"/>
    <w:rsid w:val="004B76BF"/>
    <w:rsid w:val="004C07DF"/>
    <w:rsid w:val="004C0A70"/>
    <w:rsid w:val="004C1EA7"/>
    <w:rsid w:val="004C4866"/>
    <w:rsid w:val="004C52B7"/>
    <w:rsid w:val="004D0D25"/>
    <w:rsid w:val="004D0D57"/>
    <w:rsid w:val="004D1075"/>
    <w:rsid w:val="004D1164"/>
    <w:rsid w:val="004D133C"/>
    <w:rsid w:val="004D1EE8"/>
    <w:rsid w:val="004D2D2E"/>
    <w:rsid w:val="004D3913"/>
    <w:rsid w:val="004D40B7"/>
    <w:rsid w:val="004D4DBA"/>
    <w:rsid w:val="004D5C9C"/>
    <w:rsid w:val="004D6A96"/>
    <w:rsid w:val="004E0401"/>
    <w:rsid w:val="004E0505"/>
    <w:rsid w:val="004E09D0"/>
    <w:rsid w:val="004E0A0D"/>
    <w:rsid w:val="004E30D0"/>
    <w:rsid w:val="004E5410"/>
    <w:rsid w:val="004E7293"/>
    <w:rsid w:val="004E7CEA"/>
    <w:rsid w:val="004E7F80"/>
    <w:rsid w:val="004F02D0"/>
    <w:rsid w:val="004F0E5B"/>
    <w:rsid w:val="004F271A"/>
    <w:rsid w:val="004F2FA4"/>
    <w:rsid w:val="004F301B"/>
    <w:rsid w:val="004F38A3"/>
    <w:rsid w:val="004F3B9D"/>
    <w:rsid w:val="004F52FB"/>
    <w:rsid w:val="004F65D7"/>
    <w:rsid w:val="004F6EBC"/>
    <w:rsid w:val="004F7F0A"/>
    <w:rsid w:val="005005D5"/>
    <w:rsid w:val="0050095D"/>
    <w:rsid w:val="00501467"/>
    <w:rsid w:val="0050221C"/>
    <w:rsid w:val="00503CEA"/>
    <w:rsid w:val="00504225"/>
    <w:rsid w:val="00504372"/>
    <w:rsid w:val="00505983"/>
    <w:rsid w:val="00505D64"/>
    <w:rsid w:val="00506F89"/>
    <w:rsid w:val="00507565"/>
    <w:rsid w:val="00507970"/>
    <w:rsid w:val="00507AA9"/>
    <w:rsid w:val="00510CAF"/>
    <w:rsid w:val="00511B8D"/>
    <w:rsid w:val="005137EA"/>
    <w:rsid w:val="005153F6"/>
    <w:rsid w:val="0051638C"/>
    <w:rsid w:val="005164C4"/>
    <w:rsid w:val="00516A9B"/>
    <w:rsid w:val="00517327"/>
    <w:rsid w:val="00517FEE"/>
    <w:rsid w:val="005203B4"/>
    <w:rsid w:val="005203F6"/>
    <w:rsid w:val="0052140F"/>
    <w:rsid w:val="00522BC5"/>
    <w:rsid w:val="0052378D"/>
    <w:rsid w:val="00523C72"/>
    <w:rsid w:val="005263E5"/>
    <w:rsid w:val="00531B41"/>
    <w:rsid w:val="00533334"/>
    <w:rsid w:val="0053363D"/>
    <w:rsid w:val="0053401E"/>
    <w:rsid w:val="00535715"/>
    <w:rsid w:val="005358DC"/>
    <w:rsid w:val="00536215"/>
    <w:rsid w:val="00537356"/>
    <w:rsid w:val="00540001"/>
    <w:rsid w:val="00540DB5"/>
    <w:rsid w:val="00541821"/>
    <w:rsid w:val="00541C83"/>
    <w:rsid w:val="00542117"/>
    <w:rsid w:val="00542948"/>
    <w:rsid w:val="0054299A"/>
    <w:rsid w:val="00543565"/>
    <w:rsid w:val="0054459B"/>
    <w:rsid w:val="00544A7E"/>
    <w:rsid w:val="00550A4D"/>
    <w:rsid w:val="00551873"/>
    <w:rsid w:val="005558D1"/>
    <w:rsid w:val="00556E03"/>
    <w:rsid w:val="00557623"/>
    <w:rsid w:val="0055798B"/>
    <w:rsid w:val="00561D73"/>
    <w:rsid w:val="0056278C"/>
    <w:rsid w:val="005627AB"/>
    <w:rsid w:val="0056581A"/>
    <w:rsid w:val="00565AF6"/>
    <w:rsid w:val="00566398"/>
    <w:rsid w:val="00567352"/>
    <w:rsid w:val="00567D6A"/>
    <w:rsid w:val="00567F25"/>
    <w:rsid w:val="00570D70"/>
    <w:rsid w:val="005713EA"/>
    <w:rsid w:val="00572D25"/>
    <w:rsid w:val="0057310D"/>
    <w:rsid w:val="00573D83"/>
    <w:rsid w:val="00573FE4"/>
    <w:rsid w:val="0057780B"/>
    <w:rsid w:val="00577FB9"/>
    <w:rsid w:val="005806A6"/>
    <w:rsid w:val="00580787"/>
    <w:rsid w:val="005809A5"/>
    <w:rsid w:val="005810B5"/>
    <w:rsid w:val="00581FFF"/>
    <w:rsid w:val="0058257E"/>
    <w:rsid w:val="005839F2"/>
    <w:rsid w:val="005847DF"/>
    <w:rsid w:val="0058599C"/>
    <w:rsid w:val="00585C78"/>
    <w:rsid w:val="0058676D"/>
    <w:rsid w:val="00587CB7"/>
    <w:rsid w:val="00591437"/>
    <w:rsid w:val="005975FA"/>
    <w:rsid w:val="00597608"/>
    <w:rsid w:val="005A4710"/>
    <w:rsid w:val="005A4C04"/>
    <w:rsid w:val="005A4F3A"/>
    <w:rsid w:val="005A5313"/>
    <w:rsid w:val="005A578E"/>
    <w:rsid w:val="005B120C"/>
    <w:rsid w:val="005B448F"/>
    <w:rsid w:val="005B52F6"/>
    <w:rsid w:val="005B573C"/>
    <w:rsid w:val="005B699E"/>
    <w:rsid w:val="005C00F2"/>
    <w:rsid w:val="005C1532"/>
    <w:rsid w:val="005C24CF"/>
    <w:rsid w:val="005C4858"/>
    <w:rsid w:val="005C5E77"/>
    <w:rsid w:val="005C6215"/>
    <w:rsid w:val="005C68AB"/>
    <w:rsid w:val="005C70D6"/>
    <w:rsid w:val="005D00CE"/>
    <w:rsid w:val="005D00EC"/>
    <w:rsid w:val="005D08DA"/>
    <w:rsid w:val="005D2120"/>
    <w:rsid w:val="005D234F"/>
    <w:rsid w:val="005D687E"/>
    <w:rsid w:val="005D733A"/>
    <w:rsid w:val="005E1426"/>
    <w:rsid w:val="005E1E7C"/>
    <w:rsid w:val="005E312B"/>
    <w:rsid w:val="005E4270"/>
    <w:rsid w:val="005E6B68"/>
    <w:rsid w:val="005F02BE"/>
    <w:rsid w:val="005F0932"/>
    <w:rsid w:val="005F3A54"/>
    <w:rsid w:val="005F422F"/>
    <w:rsid w:val="005F4306"/>
    <w:rsid w:val="005F57C3"/>
    <w:rsid w:val="005F5AA7"/>
    <w:rsid w:val="005F69EC"/>
    <w:rsid w:val="00600A46"/>
    <w:rsid w:val="0060113F"/>
    <w:rsid w:val="00602279"/>
    <w:rsid w:val="00605ADA"/>
    <w:rsid w:val="00605CA1"/>
    <w:rsid w:val="00606AF0"/>
    <w:rsid w:val="006103B9"/>
    <w:rsid w:val="006105AC"/>
    <w:rsid w:val="00610A38"/>
    <w:rsid w:val="00611449"/>
    <w:rsid w:val="006165F5"/>
    <w:rsid w:val="006168B0"/>
    <w:rsid w:val="00621778"/>
    <w:rsid w:val="006218F4"/>
    <w:rsid w:val="00621CA2"/>
    <w:rsid w:val="00622A67"/>
    <w:rsid w:val="0062424D"/>
    <w:rsid w:val="00625042"/>
    <w:rsid w:val="006250FD"/>
    <w:rsid w:val="00625DE8"/>
    <w:rsid w:val="006268D8"/>
    <w:rsid w:val="00627877"/>
    <w:rsid w:val="00627A56"/>
    <w:rsid w:val="00630354"/>
    <w:rsid w:val="00630374"/>
    <w:rsid w:val="006307F9"/>
    <w:rsid w:val="00630FB9"/>
    <w:rsid w:val="00631A87"/>
    <w:rsid w:val="0063209C"/>
    <w:rsid w:val="00634AEA"/>
    <w:rsid w:val="00636291"/>
    <w:rsid w:val="00637BA6"/>
    <w:rsid w:val="00641E83"/>
    <w:rsid w:val="0064251F"/>
    <w:rsid w:val="00642D19"/>
    <w:rsid w:val="006436BD"/>
    <w:rsid w:val="006442C4"/>
    <w:rsid w:val="00645100"/>
    <w:rsid w:val="00645174"/>
    <w:rsid w:val="00647C7B"/>
    <w:rsid w:val="00650C5D"/>
    <w:rsid w:val="00650F9F"/>
    <w:rsid w:val="0065190F"/>
    <w:rsid w:val="00653F54"/>
    <w:rsid w:val="00656496"/>
    <w:rsid w:val="00656538"/>
    <w:rsid w:val="006572A2"/>
    <w:rsid w:val="006611F1"/>
    <w:rsid w:val="00664949"/>
    <w:rsid w:val="006657AF"/>
    <w:rsid w:val="0066655F"/>
    <w:rsid w:val="00667DA7"/>
    <w:rsid w:val="00671884"/>
    <w:rsid w:val="00672F4F"/>
    <w:rsid w:val="00672F53"/>
    <w:rsid w:val="0067418A"/>
    <w:rsid w:val="00675AD6"/>
    <w:rsid w:val="0067609C"/>
    <w:rsid w:val="0067709E"/>
    <w:rsid w:val="00677116"/>
    <w:rsid w:val="00680B0F"/>
    <w:rsid w:val="00681675"/>
    <w:rsid w:val="006829DE"/>
    <w:rsid w:val="00683BFD"/>
    <w:rsid w:val="006849D2"/>
    <w:rsid w:val="006853E1"/>
    <w:rsid w:val="00686D2B"/>
    <w:rsid w:val="0068779D"/>
    <w:rsid w:val="00687C44"/>
    <w:rsid w:val="00691E1E"/>
    <w:rsid w:val="00692A95"/>
    <w:rsid w:val="00694CE8"/>
    <w:rsid w:val="00695017"/>
    <w:rsid w:val="0069574A"/>
    <w:rsid w:val="006978BD"/>
    <w:rsid w:val="006A01EB"/>
    <w:rsid w:val="006A14AE"/>
    <w:rsid w:val="006A2D49"/>
    <w:rsid w:val="006A3C66"/>
    <w:rsid w:val="006A450C"/>
    <w:rsid w:val="006A4A18"/>
    <w:rsid w:val="006A6E78"/>
    <w:rsid w:val="006A7665"/>
    <w:rsid w:val="006A7848"/>
    <w:rsid w:val="006A7B65"/>
    <w:rsid w:val="006B057B"/>
    <w:rsid w:val="006B0E56"/>
    <w:rsid w:val="006B22EB"/>
    <w:rsid w:val="006B3C2F"/>
    <w:rsid w:val="006B401C"/>
    <w:rsid w:val="006B432A"/>
    <w:rsid w:val="006B4E61"/>
    <w:rsid w:val="006B4FAC"/>
    <w:rsid w:val="006B5A9E"/>
    <w:rsid w:val="006B60A5"/>
    <w:rsid w:val="006B627E"/>
    <w:rsid w:val="006B6526"/>
    <w:rsid w:val="006B6820"/>
    <w:rsid w:val="006B6B7E"/>
    <w:rsid w:val="006C0492"/>
    <w:rsid w:val="006C1644"/>
    <w:rsid w:val="006C1C7E"/>
    <w:rsid w:val="006C2514"/>
    <w:rsid w:val="006C5600"/>
    <w:rsid w:val="006D0268"/>
    <w:rsid w:val="006D051D"/>
    <w:rsid w:val="006D15C8"/>
    <w:rsid w:val="006D1AFB"/>
    <w:rsid w:val="006D31AE"/>
    <w:rsid w:val="006D4667"/>
    <w:rsid w:val="006D4AAB"/>
    <w:rsid w:val="006D5F9D"/>
    <w:rsid w:val="006D7FCF"/>
    <w:rsid w:val="006E1008"/>
    <w:rsid w:val="006E18E1"/>
    <w:rsid w:val="006E3DA1"/>
    <w:rsid w:val="006E4E26"/>
    <w:rsid w:val="006E5CA7"/>
    <w:rsid w:val="006E6FDC"/>
    <w:rsid w:val="006F092A"/>
    <w:rsid w:val="006F1B3C"/>
    <w:rsid w:val="006F20C6"/>
    <w:rsid w:val="006F2192"/>
    <w:rsid w:val="006F61A5"/>
    <w:rsid w:val="006F6776"/>
    <w:rsid w:val="006F78E6"/>
    <w:rsid w:val="0070429B"/>
    <w:rsid w:val="00705CF7"/>
    <w:rsid w:val="00711EF9"/>
    <w:rsid w:val="00711F33"/>
    <w:rsid w:val="007122BE"/>
    <w:rsid w:val="00715193"/>
    <w:rsid w:val="00715643"/>
    <w:rsid w:val="0071645C"/>
    <w:rsid w:val="0071787D"/>
    <w:rsid w:val="00720630"/>
    <w:rsid w:val="0072324C"/>
    <w:rsid w:val="007246D4"/>
    <w:rsid w:val="007248C1"/>
    <w:rsid w:val="00724C95"/>
    <w:rsid w:val="007261C2"/>
    <w:rsid w:val="00727C3D"/>
    <w:rsid w:val="007300E0"/>
    <w:rsid w:val="00730AA7"/>
    <w:rsid w:val="00731309"/>
    <w:rsid w:val="007321D5"/>
    <w:rsid w:val="00733147"/>
    <w:rsid w:val="00733B61"/>
    <w:rsid w:val="00734043"/>
    <w:rsid w:val="00734D77"/>
    <w:rsid w:val="00735431"/>
    <w:rsid w:val="00735B10"/>
    <w:rsid w:val="00736445"/>
    <w:rsid w:val="0073673B"/>
    <w:rsid w:val="0073763F"/>
    <w:rsid w:val="0073788D"/>
    <w:rsid w:val="0074195F"/>
    <w:rsid w:val="007426AC"/>
    <w:rsid w:val="007438E8"/>
    <w:rsid w:val="00743AB7"/>
    <w:rsid w:val="007449C8"/>
    <w:rsid w:val="00745294"/>
    <w:rsid w:val="00746AB3"/>
    <w:rsid w:val="00747046"/>
    <w:rsid w:val="00750381"/>
    <w:rsid w:val="00750C6D"/>
    <w:rsid w:val="00752A6D"/>
    <w:rsid w:val="0075484B"/>
    <w:rsid w:val="0075580A"/>
    <w:rsid w:val="00755844"/>
    <w:rsid w:val="00756B02"/>
    <w:rsid w:val="00756E20"/>
    <w:rsid w:val="007609C0"/>
    <w:rsid w:val="00761B10"/>
    <w:rsid w:val="00763915"/>
    <w:rsid w:val="00764077"/>
    <w:rsid w:val="007642EC"/>
    <w:rsid w:val="0076475A"/>
    <w:rsid w:val="0076484B"/>
    <w:rsid w:val="00764AD8"/>
    <w:rsid w:val="00764B5C"/>
    <w:rsid w:val="00766E57"/>
    <w:rsid w:val="0076797A"/>
    <w:rsid w:val="00767D7B"/>
    <w:rsid w:val="00770BB8"/>
    <w:rsid w:val="00770E4B"/>
    <w:rsid w:val="00772973"/>
    <w:rsid w:val="007733AF"/>
    <w:rsid w:val="007737E2"/>
    <w:rsid w:val="0077445E"/>
    <w:rsid w:val="00774B0F"/>
    <w:rsid w:val="00775240"/>
    <w:rsid w:val="00775DEF"/>
    <w:rsid w:val="0077770C"/>
    <w:rsid w:val="007810BD"/>
    <w:rsid w:val="00783A79"/>
    <w:rsid w:val="00783B46"/>
    <w:rsid w:val="00785590"/>
    <w:rsid w:val="00786D9E"/>
    <w:rsid w:val="00790926"/>
    <w:rsid w:val="00790CA2"/>
    <w:rsid w:val="007926A7"/>
    <w:rsid w:val="00795357"/>
    <w:rsid w:val="00795EE0"/>
    <w:rsid w:val="007967B5"/>
    <w:rsid w:val="0079709F"/>
    <w:rsid w:val="007A0B0E"/>
    <w:rsid w:val="007A148A"/>
    <w:rsid w:val="007A1601"/>
    <w:rsid w:val="007A1BCB"/>
    <w:rsid w:val="007A28BC"/>
    <w:rsid w:val="007A2DE4"/>
    <w:rsid w:val="007A5199"/>
    <w:rsid w:val="007A676C"/>
    <w:rsid w:val="007A783E"/>
    <w:rsid w:val="007B051A"/>
    <w:rsid w:val="007B110F"/>
    <w:rsid w:val="007B32DD"/>
    <w:rsid w:val="007B33C4"/>
    <w:rsid w:val="007B7AE1"/>
    <w:rsid w:val="007C08F7"/>
    <w:rsid w:val="007C1A70"/>
    <w:rsid w:val="007C1DA7"/>
    <w:rsid w:val="007C22D2"/>
    <w:rsid w:val="007C2845"/>
    <w:rsid w:val="007C2A31"/>
    <w:rsid w:val="007C397A"/>
    <w:rsid w:val="007C4BF9"/>
    <w:rsid w:val="007C4CAA"/>
    <w:rsid w:val="007C4D93"/>
    <w:rsid w:val="007C4FFF"/>
    <w:rsid w:val="007C6187"/>
    <w:rsid w:val="007C6272"/>
    <w:rsid w:val="007C6918"/>
    <w:rsid w:val="007C6D2D"/>
    <w:rsid w:val="007D3205"/>
    <w:rsid w:val="007D373F"/>
    <w:rsid w:val="007D427E"/>
    <w:rsid w:val="007D520C"/>
    <w:rsid w:val="007D6086"/>
    <w:rsid w:val="007E029B"/>
    <w:rsid w:val="007E16CE"/>
    <w:rsid w:val="007E1DDE"/>
    <w:rsid w:val="007E2C61"/>
    <w:rsid w:val="007E3742"/>
    <w:rsid w:val="007E4BE9"/>
    <w:rsid w:val="007E6042"/>
    <w:rsid w:val="007E7378"/>
    <w:rsid w:val="007E79D8"/>
    <w:rsid w:val="007E7D60"/>
    <w:rsid w:val="007F050D"/>
    <w:rsid w:val="007F14C4"/>
    <w:rsid w:val="007F27C5"/>
    <w:rsid w:val="007F2B88"/>
    <w:rsid w:val="007F36E9"/>
    <w:rsid w:val="007F4834"/>
    <w:rsid w:val="007F518F"/>
    <w:rsid w:val="007F6F79"/>
    <w:rsid w:val="00804B5D"/>
    <w:rsid w:val="0080565E"/>
    <w:rsid w:val="00806F8D"/>
    <w:rsid w:val="008073A6"/>
    <w:rsid w:val="0080768D"/>
    <w:rsid w:val="00810751"/>
    <w:rsid w:val="0081077F"/>
    <w:rsid w:val="00810EED"/>
    <w:rsid w:val="00811161"/>
    <w:rsid w:val="00813B5C"/>
    <w:rsid w:val="00816A23"/>
    <w:rsid w:val="00816AD1"/>
    <w:rsid w:val="00817A7F"/>
    <w:rsid w:val="00820305"/>
    <w:rsid w:val="00821B6F"/>
    <w:rsid w:val="008257DD"/>
    <w:rsid w:val="00825C47"/>
    <w:rsid w:val="008274F4"/>
    <w:rsid w:val="00830D5E"/>
    <w:rsid w:val="00830FF9"/>
    <w:rsid w:val="0083171C"/>
    <w:rsid w:val="00834515"/>
    <w:rsid w:val="008347FA"/>
    <w:rsid w:val="00834F6B"/>
    <w:rsid w:val="0083518C"/>
    <w:rsid w:val="00836AF1"/>
    <w:rsid w:val="0084034C"/>
    <w:rsid w:val="00840CE3"/>
    <w:rsid w:val="008410E4"/>
    <w:rsid w:val="00842117"/>
    <w:rsid w:val="00842495"/>
    <w:rsid w:val="00843433"/>
    <w:rsid w:val="00843A99"/>
    <w:rsid w:val="0084461B"/>
    <w:rsid w:val="008449A1"/>
    <w:rsid w:val="00845F13"/>
    <w:rsid w:val="00847027"/>
    <w:rsid w:val="008502E7"/>
    <w:rsid w:val="00852682"/>
    <w:rsid w:val="00852DF3"/>
    <w:rsid w:val="00853CED"/>
    <w:rsid w:val="00853DCD"/>
    <w:rsid w:val="00855074"/>
    <w:rsid w:val="0085582E"/>
    <w:rsid w:val="00855E56"/>
    <w:rsid w:val="00856B43"/>
    <w:rsid w:val="00860E8B"/>
    <w:rsid w:val="00860FAE"/>
    <w:rsid w:val="008640AF"/>
    <w:rsid w:val="008656F6"/>
    <w:rsid w:val="008660CB"/>
    <w:rsid w:val="00870AB4"/>
    <w:rsid w:val="00872129"/>
    <w:rsid w:val="008724DF"/>
    <w:rsid w:val="00872C10"/>
    <w:rsid w:val="00872CEA"/>
    <w:rsid w:val="00872D33"/>
    <w:rsid w:val="00873824"/>
    <w:rsid w:val="008739E8"/>
    <w:rsid w:val="0087565C"/>
    <w:rsid w:val="00876A66"/>
    <w:rsid w:val="00881FC8"/>
    <w:rsid w:val="00882318"/>
    <w:rsid w:val="00882F17"/>
    <w:rsid w:val="008837A4"/>
    <w:rsid w:val="00883B80"/>
    <w:rsid w:val="008840FB"/>
    <w:rsid w:val="00886164"/>
    <w:rsid w:val="0088687C"/>
    <w:rsid w:val="008904B2"/>
    <w:rsid w:val="008905B4"/>
    <w:rsid w:val="00892EA7"/>
    <w:rsid w:val="00892FA4"/>
    <w:rsid w:val="008932D6"/>
    <w:rsid w:val="00894CA7"/>
    <w:rsid w:val="00895087"/>
    <w:rsid w:val="0089564B"/>
    <w:rsid w:val="008956E7"/>
    <w:rsid w:val="00896861"/>
    <w:rsid w:val="008A0996"/>
    <w:rsid w:val="008A0E83"/>
    <w:rsid w:val="008A10F1"/>
    <w:rsid w:val="008A2131"/>
    <w:rsid w:val="008A26A6"/>
    <w:rsid w:val="008A26F4"/>
    <w:rsid w:val="008A3585"/>
    <w:rsid w:val="008A36FD"/>
    <w:rsid w:val="008A3A33"/>
    <w:rsid w:val="008A498F"/>
    <w:rsid w:val="008A4AB5"/>
    <w:rsid w:val="008B1020"/>
    <w:rsid w:val="008B2736"/>
    <w:rsid w:val="008B32B8"/>
    <w:rsid w:val="008B3601"/>
    <w:rsid w:val="008B7F65"/>
    <w:rsid w:val="008C07D0"/>
    <w:rsid w:val="008C0E14"/>
    <w:rsid w:val="008C0EB2"/>
    <w:rsid w:val="008C19EE"/>
    <w:rsid w:val="008C1DD0"/>
    <w:rsid w:val="008C1EA0"/>
    <w:rsid w:val="008C2630"/>
    <w:rsid w:val="008C26B7"/>
    <w:rsid w:val="008C3147"/>
    <w:rsid w:val="008C76AC"/>
    <w:rsid w:val="008D1246"/>
    <w:rsid w:val="008D2C5B"/>
    <w:rsid w:val="008D2DDA"/>
    <w:rsid w:val="008D388A"/>
    <w:rsid w:val="008D6741"/>
    <w:rsid w:val="008D77C0"/>
    <w:rsid w:val="008E0052"/>
    <w:rsid w:val="008E0292"/>
    <w:rsid w:val="008E170D"/>
    <w:rsid w:val="008E19B1"/>
    <w:rsid w:val="008E1AA2"/>
    <w:rsid w:val="008E26DB"/>
    <w:rsid w:val="008E3304"/>
    <w:rsid w:val="008E7050"/>
    <w:rsid w:val="008E7C08"/>
    <w:rsid w:val="008F041A"/>
    <w:rsid w:val="008F1452"/>
    <w:rsid w:val="008F2DE8"/>
    <w:rsid w:val="008F51A7"/>
    <w:rsid w:val="009045B9"/>
    <w:rsid w:val="009046BA"/>
    <w:rsid w:val="00905107"/>
    <w:rsid w:val="00905240"/>
    <w:rsid w:val="00905949"/>
    <w:rsid w:val="0090609B"/>
    <w:rsid w:val="009070F6"/>
    <w:rsid w:val="00907C7D"/>
    <w:rsid w:val="00910407"/>
    <w:rsid w:val="0091044A"/>
    <w:rsid w:val="009134B2"/>
    <w:rsid w:val="009134F4"/>
    <w:rsid w:val="00913CC2"/>
    <w:rsid w:val="009151EA"/>
    <w:rsid w:val="009157BB"/>
    <w:rsid w:val="00915B5B"/>
    <w:rsid w:val="0091737C"/>
    <w:rsid w:val="00920B49"/>
    <w:rsid w:val="009214CC"/>
    <w:rsid w:val="00921B0B"/>
    <w:rsid w:val="00921B3D"/>
    <w:rsid w:val="00921E05"/>
    <w:rsid w:val="0092218B"/>
    <w:rsid w:val="00922765"/>
    <w:rsid w:val="00925B97"/>
    <w:rsid w:val="0092633C"/>
    <w:rsid w:val="00927692"/>
    <w:rsid w:val="00930C0E"/>
    <w:rsid w:val="00932836"/>
    <w:rsid w:val="009346D1"/>
    <w:rsid w:val="00934DE8"/>
    <w:rsid w:val="009418E8"/>
    <w:rsid w:val="009425B0"/>
    <w:rsid w:val="0094393B"/>
    <w:rsid w:val="009441C4"/>
    <w:rsid w:val="00944693"/>
    <w:rsid w:val="009451D5"/>
    <w:rsid w:val="009453CE"/>
    <w:rsid w:val="009458F9"/>
    <w:rsid w:val="00946D90"/>
    <w:rsid w:val="009475B1"/>
    <w:rsid w:val="00954A09"/>
    <w:rsid w:val="00955CE0"/>
    <w:rsid w:val="00955D90"/>
    <w:rsid w:val="00957D9D"/>
    <w:rsid w:val="0096028F"/>
    <w:rsid w:val="00960BCC"/>
    <w:rsid w:val="00961DF3"/>
    <w:rsid w:val="00961F7F"/>
    <w:rsid w:val="009622FE"/>
    <w:rsid w:val="00962314"/>
    <w:rsid w:val="009627BB"/>
    <w:rsid w:val="00963045"/>
    <w:rsid w:val="00964F63"/>
    <w:rsid w:val="009668B9"/>
    <w:rsid w:val="00966A21"/>
    <w:rsid w:val="009676B9"/>
    <w:rsid w:val="0097056C"/>
    <w:rsid w:val="009718EA"/>
    <w:rsid w:val="00972BE0"/>
    <w:rsid w:val="009731B1"/>
    <w:rsid w:val="00973B15"/>
    <w:rsid w:val="00974F39"/>
    <w:rsid w:val="00982B64"/>
    <w:rsid w:val="00982F21"/>
    <w:rsid w:val="00983255"/>
    <w:rsid w:val="00984042"/>
    <w:rsid w:val="009852AF"/>
    <w:rsid w:val="0098562C"/>
    <w:rsid w:val="0098757D"/>
    <w:rsid w:val="009879A3"/>
    <w:rsid w:val="00987D66"/>
    <w:rsid w:val="00991A64"/>
    <w:rsid w:val="00992112"/>
    <w:rsid w:val="009923F7"/>
    <w:rsid w:val="009934AF"/>
    <w:rsid w:val="00995245"/>
    <w:rsid w:val="00996964"/>
    <w:rsid w:val="009973F7"/>
    <w:rsid w:val="009A2036"/>
    <w:rsid w:val="009A3311"/>
    <w:rsid w:val="009A3E5F"/>
    <w:rsid w:val="009A4225"/>
    <w:rsid w:val="009A4A1D"/>
    <w:rsid w:val="009A60DD"/>
    <w:rsid w:val="009A763A"/>
    <w:rsid w:val="009B177D"/>
    <w:rsid w:val="009B3A92"/>
    <w:rsid w:val="009B5170"/>
    <w:rsid w:val="009B678A"/>
    <w:rsid w:val="009B7CA6"/>
    <w:rsid w:val="009C22E0"/>
    <w:rsid w:val="009C2597"/>
    <w:rsid w:val="009C2BB6"/>
    <w:rsid w:val="009C357F"/>
    <w:rsid w:val="009C4C8A"/>
    <w:rsid w:val="009C5BC3"/>
    <w:rsid w:val="009C6CC1"/>
    <w:rsid w:val="009C76F9"/>
    <w:rsid w:val="009C7F27"/>
    <w:rsid w:val="009D0879"/>
    <w:rsid w:val="009D1C02"/>
    <w:rsid w:val="009D23AA"/>
    <w:rsid w:val="009D2576"/>
    <w:rsid w:val="009D3C74"/>
    <w:rsid w:val="009D4301"/>
    <w:rsid w:val="009D43D1"/>
    <w:rsid w:val="009D44C4"/>
    <w:rsid w:val="009D4979"/>
    <w:rsid w:val="009D52EE"/>
    <w:rsid w:val="009D7C2F"/>
    <w:rsid w:val="009E02ED"/>
    <w:rsid w:val="009E0AF5"/>
    <w:rsid w:val="009E1142"/>
    <w:rsid w:val="009E3148"/>
    <w:rsid w:val="009E5585"/>
    <w:rsid w:val="009F035E"/>
    <w:rsid w:val="009F04A1"/>
    <w:rsid w:val="009F4224"/>
    <w:rsid w:val="009F4634"/>
    <w:rsid w:val="009F7FD5"/>
    <w:rsid w:val="00A00B68"/>
    <w:rsid w:val="00A029F1"/>
    <w:rsid w:val="00A02A2B"/>
    <w:rsid w:val="00A03371"/>
    <w:rsid w:val="00A03DD2"/>
    <w:rsid w:val="00A0478B"/>
    <w:rsid w:val="00A04C34"/>
    <w:rsid w:val="00A04DC4"/>
    <w:rsid w:val="00A0599B"/>
    <w:rsid w:val="00A05CC7"/>
    <w:rsid w:val="00A05CFC"/>
    <w:rsid w:val="00A05D83"/>
    <w:rsid w:val="00A07225"/>
    <w:rsid w:val="00A11392"/>
    <w:rsid w:val="00A117BD"/>
    <w:rsid w:val="00A1219E"/>
    <w:rsid w:val="00A132AF"/>
    <w:rsid w:val="00A13305"/>
    <w:rsid w:val="00A145B4"/>
    <w:rsid w:val="00A14F05"/>
    <w:rsid w:val="00A17583"/>
    <w:rsid w:val="00A204F2"/>
    <w:rsid w:val="00A207E9"/>
    <w:rsid w:val="00A20950"/>
    <w:rsid w:val="00A21172"/>
    <w:rsid w:val="00A22786"/>
    <w:rsid w:val="00A240EE"/>
    <w:rsid w:val="00A27A25"/>
    <w:rsid w:val="00A30628"/>
    <w:rsid w:val="00A3173C"/>
    <w:rsid w:val="00A3258B"/>
    <w:rsid w:val="00A3364E"/>
    <w:rsid w:val="00A34C6B"/>
    <w:rsid w:val="00A34D95"/>
    <w:rsid w:val="00A35E59"/>
    <w:rsid w:val="00A36284"/>
    <w:rsid w:val="00A36564"/>
    <w:rsid w:val="00A36670"/>
    <w:rsid w:val="00A36F9F"/>
    <w:rsid w:val="00A37713"/>
    <w:rsid w:val="00A404E1"/>
    <w:rsid w:val="00A40857"/>
    <w:rsid w:val="00A408C5"/>
    <w:rsid w:val="00A42DF1"/>
    <w:rsid w:val="00A444F8"/>
    <w:rsid w:val="00A46276"/>
    <w:rsid w:val="00A46BE1"/>
    <w:rsid w:val="00A46E8B"/>
    <w:rsid w:val="00A47333"/>
    <w:rsid w:val="00A473BB"/>
    <w:rsid w:val="00A50809"/>
    <w:rsid w:val="00A526C5"/>
    <w:rsid w:val="00A52AA0"/>
    <w:rsid w:val="00A55E51"/>
    <w:rsid w:val="00A568FA"/>
    <w:rsid w:val="00A56F7A"/>
    <w:rsid w:val="00A5735A"/>
    <w:rsid w:val="00A57A76"/>
    <w:rsid w:val="00A60A5F"/>
    <w:rsid w:val="00A6126E"/>
    <w:rsid w:val="00A6155A"/>
    <w:rsid w:val="00A61D6A"/>
    <w:rsid w:val="00A61F66"/>
    <w:rsid w:val="00A62DF2"/>
    <w:rsid w:val="00A63008"/>
    <w:rsid w:val="00A65C36"/>
    <w:rsid w:val="00A65DE6"/>
    <w:rsid w:val="00A708EC"/>
    <w:rsid w:val="00A70C94"/>
    <w:rsid w:val="00A719F3"/>
    <w:rsid w:val="00A7210F"/>
    <w:rsid w:val="00A72B39"/>
    <w:rsid w:val="00A73969"/>
    <w:rsid w:val="00A75A56"/>
    <w:rsid w:val="00A77754"/>
    <w:rsid w:val="00A80C82"/>
    <w:rsid w:val="00A81791"/>
    <w:rsid w:val="00A81B50"/>
    <w:rsid w:val="00A81BBF"/>
    <w:rsid w:val="00A853AB"/>
    <w:rsid w:val="00A8549A"/>
    <w:rsid w:val="00A90920"/>
    <w:rsid w:val="00A91E1C"/>
    <w:rsid w:val="00A946D2"/>
    <w:rsid w:val="00A94A70"/>
    <w:rsid w:val="00A97087"/>
    <w:rsid w:val="00AA3C96"/>
    <w:rsid w:val="00AA3F31"/>
    <w:rsid w:val="00AA6AE4"/>
    <w:rsid w:val="00AB10A3"/>
    <w:rsid w:val="00AB127A"/>
    <w:rsid w:val="00AB23EA"/>
    <w:rsid w:val="00AB3056"/>
    <w:rsid w:val="00AB4148"/>
    <w:rsid w:val="00AB6540"/>
    <w:rsid w:val="00AC100A"/>
    <w:rsid w:val="00AC40AF"/>
    <w:rsid w:val="00AC45E4"/>
    <w:rsid w:val="00AC5E37"/>
    <w:rsid w:val="00AC6FA3"/>
    <w:rsid w:val="00AC70C0"/>
    <w:rsid w:val="00AC7995"/>
    <w:rsid w:val="00AC7AB2"/>
    <w:rsid w:val="00AD0346"/>
    <w:rsid w:val="00AD142B"/>
    <w:rsid w:val="00AD1A4A"/>
    <w:rsid w:val="00AD59C6"/>
    <w:rsid w:val="00AD60CC"/>
    <w:rsid w:val="00AD62EC"/>
    <w:rsid w:val="00AD6973"/>
    <w:rsid w:val="00AD7934"/>
    <w:rsid w:val="00AD79B8"/>
    <w:rsid w:val="00AE03F9"/>
    <w:rsid w:val="00AE0816"/>
    <w:rsid w:val="00AE1E2F"/>
    <w:rsid w:val="00AE2366"/>
    <w:rsid w:val="00AE33B2"/>
    <w:rsid w:val="00AE45EA"/>
    <w:rsid w:val="00AE6119"/>
    <w:rsid w:val="00AF0F37"/>
    <w:rsid w:val="00AF20FC"/>
    <w:rsid w:val="00AF285F"/>
    <w:rsid w:val="00AF3ED5"/>
    <w:rsid w:val="00AF5736"/>
    <w:rsid w:val="00AF606C"/>
    <w:rsid w:val="00AF6615"/>
    <w:rsid w:val="00AF6B0B"/>
    <w:rsid w:val="00AF6CE5"/>
    <w:rsid w:val="00AF7013"/>
    <w:rsid w:val="00B0127B"/>
    <w:rsid w:val="00B0166B"/>
    <w:rsid w:val="00B01C4E"/>
    <w:rsid w:val="00B0257E"/>
    <w:rsid w:val="00B03D72"/>
    <w:rsid w:val="00B054BB"/>
    <w:rsid w:val="00B06D6B"/>
    <w:rsid w:val="00B07B63"/>
    <w:rsid w:val="00B10223"/>
    <w:rsid w:val="00B10DC0"/>
    <w:rsid w:val="00B147AF"/>
    <w:rsid w:val="00B14B30"/>
    <w:rsid w:val="00B15D75"/>
    <w:rsid w:val="00B1755E"/>
    <w:rsid w:val="00B17839"/>
    <w:rsid w:val="00B20017"/>
    <w:rsid w:val="00B201C5"/>
    <w:rsid w:val="00B207B0"/>
    <w:rsid w:val="00B21A21"/>
    <w:rsid w:val="00B227D6"/>
    <w:rsid w:val="00B241D3"/>
    <w:rsid w:val="00B31551"/>
    <w:rsid w:val="00B32E69"/>
    <w:rsid w:val="00B33D24"/>
    <w:rsid w:val="00B347D3"/>
    <w:rsid w:val="00B36565"/>
    <w:rsid w:val="00B37A2B"/>
    <w:rsid w:val="00B37CDF"/>
    <w:rsid w:val="00B4079B"/>
    <w:rsid w:val="00B41352"/>
    <w:rsid w:val="00B4360F"/>
    <w:rsid w:val="00B45112"/>
    <w:rsid w:val="00B462DB"/>
    <w:rsid w:val="00B478EA"/>
    <w:rsid w:val="00B47C70"/>
    <w:rsid w:val="00B527B9"/>
    <w:rsid w:val="00B52B26"/>
    <w:rsid w:val="00B52C7C"/>
    <w:rsid w:val="00B531CC"/>
    <w:rsid w:val="00B54C3E"/>
    <w:rsid w:val="00B55677"/>
    <w:rsid w:val="00B556BF"/>
    <w:rsid w:val="00B55E9A"/>
    <w:rsid w:val="00B56113"/>
    <w:rsid w:val="00B56762"/>
    <w:rsid w:val="00B569AE"/>
    <w:rsid w:val="00B570E0"/>
    <w:rsid w:val="00B63FBB"/>
    <w:rsid w:val="00B644EC"/>
    <w:rsid w:val="00B6458C"/>
    <w:rsid w:val="00B65A8D"/>
    <w:rsid w:val="00B65BA4"/>
    <w:rsid w:val="00B66B0F"/>
    <w:rsid w:val="00B67DA3"/>
    <w:rsid w:val="00B7071C"/>
    <w:rsid w:val="00B712FB"/>
    <w:rsid w:val="00B73C71"/>
    <w:rsid w:val="00B75C3D"/>
    <w:rsid w:val="00B76B77"/>
    <w:rsid w:val="00B80C90"/>
    <w:rsid w:val="00B811E5"/>
    <w:rsid w:val="00B81968"/>
    <w:rsid w:val="00B82D1E"/>
    <w:rsid w:val="00B8514B"/>
    <w:rsid w:val="00B85FE0"/>
    <w:rsid w:val="00B8691A"/>
    <w:rsid w:val="00B86B85"/>
    <w:rsid w:val="00B87C7C"/>
    <w:rsid w:val="00B905E2"/>
    <w:rsid w:val="00B90758"/>
    <w:rsid w:val="00B90CC9"/>
    <w:rsid w:val="00B93BB0"/>
    <w:rsid w:val="00B95152"/>
    <w:rsid w:val="00B951EE"/>
    <w:rsid w:val="00BA0ABE"/>
    <w:rsid w:val="00BA137C"/>
    <w:rsid w:val="00BA15B3"/>
    <w:rsid w:val="00BA2151"/>
    <w:rsid w:val="00BA43A9"/>
    <w:rsid w:val="00BA547B"/>
    <w:rsid w:val="00BA6F20"/>
    <w:rsid w:val="00BA7834"/>
    <w:rsid w:val="00BB139D"/>
    <w:rsid w:val="00BB1CF4"/>
    <w:rsid w:val="00BB400D"/>
    <w:rsid w:val="00BB42E7"/>
    <w:rsid w:val="00BB4A62"/>
    <w:rsid w:val="00BB51D3"/>
    <w:rsid w:val="00BB68A7"/>
    <w:rsid w:val="00BB6A68"/>
    <w:rsid w:val="00BB7EFF"/>
    <w:rsid w:val="00BC18DE"/>
    <w:rsid w:val="00BC2AE9"/>
    <w:rsid w:val="00BC40FB"/>
    <w:rsid w:val="00BC425E"/>
    <w:rsid w:val="00BC55EA"/>
    <w:rsid w:val="00BC5C1F"/>
    <w:rsid w:val="00BC6392"/>
    <w:rsid w:val="00BD04C8"/>
    <w:rsid w:val="00BD053B"/>
    <w:rsid w:val="00BD21E8"/>
    <w:rsid w:val="00BD48AE"/>
    <w:rsid w:val="00BD4B3B"/>
    <w:rsid w:val="00BD55A4"/>
    <w:rsid w:val="00BD55BC"/>
    <w:rsid w:val="00BD5B6A"/>
    <w:rsid w:val="00BD5BDD"/>
    <w:rsid w:val="00BE0F0A"/>
    <w:rsid w:val="00BE1524"/>
    <w:rsid w:val="00BE1A74"/>
    <w:rsid w:val="00BE2CC0"/>
    <w:rsid w:val="00BE336D"/>
    <w:rsid w:val="00BE3552"/>
    <w:rsid w:val="00BE4BFA"/>
    <w:rsid w:val="00BE4BFB"/>
    <w:rsid w:val="00BE54A2"/>
    <w:rsid w:val="00BE54B0"/>
    <w:rsid w:val="00BE55AC"/>
    <w:rsid w:val="00BE5845"/>
    <w:rsid w:val="00BE5EA9"/>
    <w:rsid w:val="00BE66C7"/>
    <w:rsid w:val="00BE7648"/>
    <w:rsid w:val="00BF0F84"/>
    <w:rsid w:val="00BF2CCD"/>
    <w:rsid w:val="00BF3A91"/>
    <w:rsid w:val="00BF4031"/>
    <w:rsid w:val="00BF4DF1"/>
    <w:rsid w:val="00C004C1"/>
    <w:rsid w:val="00C01B66"/>
    <w:rsid w:val="00C01FD7"/>
    <w:rsid w:val="00C022C5"/>
    <w:rsid w:val="00C02737"/>
    <w:rsid w:val="00C0281C"/>
    <w:rsid w:val="00C02BBB"/>
    <w:rsid w:val="00C039D5"/>
    <w:rsid w:val="00C03F79"/>
    <w:rsid w:val="00C05654"/>
    <w:rsid w:val="00C0685C"/>
    <w:rsid w:val="00C10A97"/>
    <w:rsid w:val="00C11332"/>
    <w:rsid w:val="00C127FB"/>
    <w:rsid w:val="00C12B0F"/>
    <w:rsid w:val="00C146B5"/>
    <w:rsid w:val="00C17E23"/>
    <w:rsid w:val="00C20591"/>
    <w:rsid w:val="00C21048"/>
    <w:rsid w:val="00C21E76"/>
    <w:rsid w:val="00C22942"/>
    <w:rsid w:val="00C239B0"/>
    <w:rsid w:val="00C242E6"/>
    <w:rsid w:val="00C2461C"/>
    <w:rsid w:val="00C265D0"/>
    <w:rsid w:val="00C27566"/>
    <w:rsid w:val="00C30862"/>
    <w:rsid w:val="00C30FC3"/>
    <w:rsid w:val="00C32AC8"/>
    <w:rsid w:val="00C33646"/>
    <w:rsid w:val="00C33D4A"/>
    <w:rsid w:val="00C35318"/>
    <w:rsid w:val="00C37E41"/>
    <w:rsid w:val="00C40AB1"/>
    <w:rsid w:val="00C4126B"/>
    <w:rsid w:val="00C41D1F"/>
    <w:rsid w:val="00C43BDA"/>
    <w:rsid w:val="00C472B8"/>
    <w:rsid w:val="00C4787B"/>
    <w:rsid w:val="00C50002"/>
    <w:rsid w:val="00C5079C"/>
    <w:rsid w:val="00C51CD6"/>
    <w:rsid w:val="00C52510"/>
    <w:rsid w:val="00C527EA"/>
    <w:rsid w:val="00C52A55"/>
    <w:rsid w:val="00C53A63"/>
    <w:rsid w:val="00C53F13"/>
    <w:rsid w:val="00C563BC"/>
    <w:rsid w:val="00C56C33"/>
    <w:rsid w:val="00C57703"/>
    <w:rsid w:val="00C616D6"/>
    <w:rsid w:val="00C61FCE"/>
    <w:rsid w:val="00C65232"/>
    <w:rsid w:val="00C66177"/>
    <w:rsid w:val="00C66B27"/>
    <w:rsid w:val="00C66C09"/>
    <w:rsid w:val="00C679CD"/>
    <w:rsid w:val="00C70617"/>
    <w:rsid w:val="00C71271"/>
    <w:rsid w:val="00C71E76"/>
    <w:rsid w:val="00C71F84"/>
    <w:rsid w:val="00C72C85"/>
    <w:rsid w:val="00C73168"/>
    <w:rsid w:val="00C75B58"/>
    <w:rsid w:val="00C77938"/>
    <w:rsid w:val="00C8011F"/>
    <w:rsid w:val="00C80349"/>
    <w:rsid w:val="00C82C24"/>
    <w:rsid w:val="00C834B9"/>
    <w:rsid w:val="00C8408B"/>
    <w:rsid w:val="00C8516E"/>
    <w:rsid w:val="00C868D7"/>
    <w:rsid w:val="00C86B15"/>
    <w:rsid w:val="00C86B4D"/>
    <w:rsid w:val="00C87EC2"/>
    <w:rsid w:val="00C91167"/>
    <w:rsid w:val="00C9123E"/>
    <w:rsid w:val="00C9126E"/>
    <w:rsid w:val="00C9156C"/>
    <w:rsid w:val="00C927F8"/>
    <w:rsid w:val="00C93FC8"/>
    <w:rsid w:val="00C94233"/>
    <w:rsid w:val="00C94B58"/>
    <w:rsid w:val="00C95ECA"/>
    <w:rsid w:val="00CA03D8"/>
    <w:rsid w:val="00CA1803"/>
    <w:rsid w:val="00CA2144"/>
    <w:rsid w:val="00CA2AD2"/>
    <w:rsid w:val="00CA6B40"/>
    <w:rsid w:val="00CA6CE6"/>
    <w:rsid w:val="00CA7061"/>
    <w:rsid w:val="00CA7443"/>
    <w:rsid w:val="00CB053F"/>
    <w:rsid w:val="00CB0C3F"/>
    <w:rsid w:val="00CB0D92"/>
    <w:rsid w:val="00CB178E"/>
    <w:rsid w:val="00CB2F9C"/>
    <w:rsid w:val="00CC0A13"/>
    <w:rsid w:val="00CC281A"/>
    <w:rsid w:val="00CC284D"/>
    <w:rsid w:val="00CC28C8"/>
    <w:rsid w:val="00CC3D85"/>
    <w:rsid w:val="00CC58C8"/>
    <w:rsid w:val="00CC5CAC"/>
    <w:rsid w:val="00CC7844"/>
    <w:rsid w:val="00CD04E7"/>
    <w:rsid w:val="00CD2539"/>
    <w:rsid w:val="00CD2EE6"/>
    <w:rsid w:val="00CD2FC3"/>
    <w:rsid w:val="00CD44A8"/>
    <w:rsid w:val="00CD50C4"/>
    <w:rsid w:val="00CD533F"/>
    <w:rsid w:val="00CD65C0"/>
    <w:rsid w:val="00CD65FC"/>
    <w:rsid w:val="00CD78A9"/>
    <w:rsid w:val="00CD7F20"/>
    <w:rsid w:val="00CD7F5B"/>
    <w:rsid w:val="00CE0323"/>
    <w:rsid w:val="00CE0B5A"/>
    <w:rsid w:val="00CE135E"/>
    <w:rsid w:val="00CE18D9"/>
    <w:rsid w:val="00CE252B"/>
    <w:rsid w:val="00CE3B07"/>
    <w:rsid w:val="00CE3B3D"/>
    <w:rsid w:val="00CE4F8C"/>
    <w:rsid w:val="00CE51C6"/>
    <w:rsid w:val="00CE586F"/>
    <w:rsid w:val="00CF122B"/>
    <w:rsid w:val="00CF1D4A"/>
    <w:rsid w:val="00CF2751"/>
    <w:rsid w:val="00CF475D"/>
    <w:rsid w:val="00CF486A"/>
    <w:rsid w:val="00CF599F"/>
    <w:rsid w:val="00CF5F9B"/>
    <w:rsid w:val="00CF7061"/>
    <w:rsid w:val="00D00C50"/>
    <w:rsid w:val="00D02389"/>
    <w:rsid w:val="00D028A8"/>
    <w:rsid w:val="00D030F3"/>
    <w:rsid w:val="00D03849"/>
    <w:rsid w:val="00D05ABF"/>
    <w:rsid w:val="00D06678"/>
    <w:rsid w:val="00D07BAF"/>
    <w:rsid w:val="00D07E16"/>
    <w:rsid w:val="00D07FF1"/>
    <w:rsid w:val="00D1346F"/>
    <w:rsid w:val="00D14F2F"/>
    <w:rsid w:val="00D14F64"/>
    <w:rsid w:val="00D158D3"/>
    <w:rsid w:val="00D20B9F"/>
    <w:rsid w:val="00D22916"/>
    <w:rsid w:val="00D25099"/>
    <w:rsid w:val="00D25F9C"/>
    <w:rsid w:val="00D266EB"/>
    <w:rsid w:val="00D315DA"/>
    <w:rsid w:val="00D33484"/>
    <w:rsid w:val="00D349AE"/>
    <w:rsid w:val="00D40D99"/>
    <w:rsid w:val="00D42A35"/>
    <w:rsid w:val="00D43471"/>
    <w:rsid w:val="00D45338"/>
    <w:rsid w:val="00D4563B"/>
    <w:rsid w:val="00D46F33"/>
    <w:rsid w:val="00D50719"/>
    <w:rsid w:val="00D51F6F"/>
    <w:rsid w:val="00D52A70"/>
    <w:rsid w:val="00D540F5"/>
    <w:rsid w:val="00D54925"/>
    <w:rsid w:val="00D549F7"/>
    <w:rsid w:val="00D566C8"/>
    <w:rsid w:val="00D56E18"/>
    <w:rsid w:val="00D57CCB"/>
    <w:rsid w:val="00D60724"/>
    <w:rsid w:val="00D61828"/>
    <w:rsid w:val="00D61B3E"/>
    <w:rsid w:val="00D62112"/>
    <w:rsid w:val="00D63605"/>
    <w:rsid w:val="00D63CE6"/>
    <w:rsid w:val="00D64181"/>
    <w:rsid w:val="00D6463E"/>
    <w:rsid w:val="00D647F7"/>
    <w:rsid w:val="00D653DF"/>
    <w:rsid w:val="00D65B35"/>
    <w:rsid w:val="00D6664D"/>
    <w:rsid w:val="00D743C0"/>
    <w:rsid w:val="00D74752"/>
    <w:rsid w:val="00D76DCB"/>
    <w:rsid w:val="00D80482"/>
    <w:rsid w:val="00D80B53"/>
    <w:rsid w:val="00D80F34"/>
    <w:rsid w:val="00D81B1D"/>
    <w:rsid w:val="00D854C9"/>
    <w:rsid w:val="00D90323"/>
    <w:rsid w:val="00D907AD"/>
    <w:rsid w:val="00D92A2B"/>
    <w:rsid w:val="00D9454E"/>
    <w:rsid w:val="00D94B3D"/>
    <w:rsid w:val="00D95186"/>
    <w:rsid w:val="00D9604B"/>
    <w:rsid w:val="00D97007"/>
    <w:rsid w:val="00DA0C46"/>
    <w:rsid w:val="00DA1C9B"/>
    <w:rsid w:val="00DA2778"/>
    <w:rsid w:val="00DA286E"/>
    <w:rsid w:val="00DA2B6B"/>
    <w:rsid w:val="00DA3623"/>
    <w:rsid w:val="00DA44E1"/>
    <w:rsid w:val="00DA4DDB"/>
    <w:rsid w:val="00DA7166"/>
    <w:rsid w:val="00DA7B6B"/>
    <w:rsid w:val="00DA7FBB"/>
    <w:rsid w:val="00DB40E8"/>
    <w:rsid w:val="00DB42DB"/>
    <w:rsid w:val="00DB4618"/>
    <w:rsid w:val="00DB518C"/>
    <w:rsid w:val="00DB52B0"/>
    <w:rsid w:val="00DB6FF3"/>
    <w:rsid w:val="00DC0075"/>
    <w:rsid w:val="00DC13E2"/>
    <w:rsid w:val="00DC1F7C"/>
    <w:rsid w:val="00DC2E34"/>
    <w:rsid w:val="00DC5733"/>
    <w:rsid w:val="00DC6688"/>
    <w:rsid w:val="00DC72A3"/>
    <w:rsid w:val="00DD0FC9"/>
    <w:rsid w:val="00DD16C9"/>
    <w:rsid w:val="00DD40EF"/>
    <w:rsid w:val="00DD4B6E"/>
    <w:rsid w:val="00DD65DD"/>
    <w:rsid w:val="00DD7B32"/>
    <w:rsid w:val="00DE0FC8"/>
    <w:rsid w:val="00DE1020"/>
    <w:rsid w:val="00DE1DDF"/>
    <w:rsid w:val="00DE42E3"/>
    <w:rsid w:val="00DE4CB0"/>
    <w:rsid w:val="00DE5B09"/>
    <w:rsid w:val="00DE6EEB"/>
    <w:rsid w:val="00DE6FEF"/>
    <w:rsid w:val="00DF007A"/>
    <w:rsid w:val="00DF257D"/>
    <w:rsid w:val="00DF3290"/>
    <w:rsid w:val="00DF37BF"/>
    <w:rsid w:val="00DF3F11"/>
    <w:rsid w:val="00DF4211"/>
    <w:rsid w:val="00DF5ECE"/>
    <w:rsid w:val="00DF67BE"/>
    <w:rsid w:val="00E014AF"/>
    <w:rsid w:val="00E01EA6"/>
    <w:rsid w:val="00E01F85"/>
    <w:rsid w:val="00E04F84"/>
    <w:rsid w:val="00E05922"/>
    <w:rsid w:val="00E061E9"/>
    <w:rsid w:val="00E065EC"/>
    <w:rsid w:val="00E06C7A"/>
    <w:rsid w:val="00E06D7E"/>
    <w:rsid w:val="00E07E73"/>
    <w:rsid w:val="00E10CC0"/>
    <w:rsid w:val="00E146AD"/>
    <w:rsid w:val="00E16067"/>
    <w:rsid w:val="00E16372"/>
    <w:rsid w:val="00E20317"/>
    <w:rsid w:val="00E20F61"/>
    <w:rsid w:val="00E214A6"/>
    <w:rsid w:val="00E220C6"/>
    <w:rsid w:val="00E22320"/>
    <w:rsid w:val="00E22B77"/>
    <w:rsid w:val="00E22DEF"/>
    <w:rsid w:val="00E23693"/>
    <w:rsid w:val="00E23F1B"/>
    <w:rsid w:val="00E259CB"/>
    <w:rsid w:val="00E27AB8"/>
    <w:rsid w:val="00E27B4E"/>
    <w:rsid w:val="00E3079D"/>
    <w:rsid w:val="00E30BF2"/>
    <w:rsid w:val="00E312DE"/>
    <w:rsid w:val="00E315A0"/>
    <w:rsid w:val="00E320B5"/>
    <w:rsid w:val="00E32CAE"/>
    <w:rsid w:val="00E33F13"/>
    <w:rsid w:val="00E356FD"/>
    <w:rsid w:val="00E36393"/>
    <w:rsid w:val="00E365F3"/>
    <w:rsid w:val="00E37A8F"/>
    <w:rsid w:val="00E4282E"/>
    <w:rsid w:val="00E42AA5"/>
    <w:rsid w:val="00E4325C"/>
    <w:rsid w:val="00E43F6A"/>
    <w:rsid w:val="00E45D92"/>
    <w:rsid w:val="00E466E3"/>
    <w:rsid w:val="00E46D1B"/>
    <w:rsid w:val="00E47043"/>
    <w:rsid w:val="00E47133"/>
    <w:rsid w:val="00E51E02"/>
    <w:rsid w:val="00E5237B"/>
    <w:rsid w:val="00E52F9B"/>
    <w:rsid w:val="00E54007"/>
    <w:rsid w:val="00E5605A"/>
    <w:rsid w:val="00E56274"/>
    <w:rsid w:val="00E5718F"/>
    <w:rsid w:val="00E571CF"/>
    <w:rsid w:val="00E60275"/>
    <w:rsid w:val="00E6118D"/>
    <w:rsid w:val="00E6209D"/>
    <w:rsid w:val="00E6294E"/>
    <w:rsid w:val="00E64194"/>
    <w:rsid w:val="00E6727D"/>
    <w:rsid w:val="00E7039E"/>
    <w:rsid w:val="00E71E72"/>
    <w:rsid w:val="00E76DEA"/>
    <w:rsid w:val="00E779E5"/>
    <w:rsid w:val="00E83C22"/>
    <w:rsid w:val="00E85B01"/>
    <w:rsid w:val="00E86989"/>
    <w:rsid w:val="00E87DFE"/>
    <w:rsid w:val="00E903FF"/>
    <w:rsid w:val="00E90922"/>
    <w:rsid w:val="00E91B95"/>
    <w:rsid w:val="00E9325B"/>
    <w:rsid w:val="00E9388E"/>
    <w:rsid w:val="00E958AF"/>
    <w:rsid w:val="00E95E3D"/>
    <w:rsid w:val="00E96663"/>
    <w:rsid w:val="00E96AAE"/>
    <w:rsid w:val="00E977F6"/>
    <w:rsid w:val="00EA0364"/>
    <w:rsid w:val="00EA4087"/>
    <w:rsid w:val="00EA52FC"/>
    <w:rsid w:val="00EA5BAC"/>
    <w:rsid w:val="00EA6151"/>
    <w:rsid w:val="00EA625F"/>
    <w:rsid w:val="00EA6B47"/>
    <w:rsid w:val="00EA7293"/>
    <w:rsid w:val="00EA7929"/>
    <w:rsid w:val="00EB34F0"/>
    <w:rsid w:val="00EB3A5D"/>
    <w:rsid w:val="00EB470E"/>
    <w:rsid w:val="00EB4971"/>
    <w:rsid w:val="00EB4A49"/>
    <w:rsid w:val="00EB553F"/>
    <w:rsid w:val="00EB5665"/>
    <w:rsid w:val="00EC11B5"/>
    <w:rsid w:val="00EC1372"/>
    <w:rsid w:val="00EC16CE"/>
    <w:rsid w:val="00EC223C"/>
    <w:rsid w:val="00EC28B8"/>
    <w:rsid w:val="00EC2AEC"/>
    <w:rsid w:val="00EC2F91"/>
    <w:rsid w:val="00EC39CE"/>
    <w:rsid w:val="00EC3DA8"/>
    <w:rsid w:val="00EC699B"/>
    <w:rsid w:val="00EC6E51"/>
    <w:rsid w:val="00EC7963"/>
    <w:rsid w:val="00ED07C3"/>
    <w:rsid w:val="00ED099A"/>
    <w:rsid w:val="00ED2ACE"/>
    <w:rsid w:val="00ED61F2"/>
    <w:rsid w:val="00ED7802"/>
    <w:rsid w:val="00ED7966"/>
    <w:rsid w:val="00EE2DAE"/>
    <w:rsid w:val="00EE3933"/>
    <w:rsid w:val="00EE3F50"/>
    <w:rsid w:val="00EF0A30"/>
    <w:rsid w:val="00EF1D8A"/>
    <w:rsid w:val="00EF42A2"/>
    <w:rsid w:val="00EF5124"/>
    <w:rsid w:val="00F000F4"/>
    <w:rsid w:val="00F01E80"/>
    <w:rsid w:val="00F021E3"/>
    <w:rsid w:val="00F031CD"/>
    <w:rsid w:val="00F04166"/>
    <w:rsid w:val="00F10D6A"/>
    <w:rsid w:val="00F124DC"/>
    <w:rsid w:val="00F12898"/>
    <w:rsid w:val="00F1398E"/>
    <w:rsid w:val="00F147D3"/>
    <w:rsid w:val="00F15BFB"/>
    <w:rsid w:val="00F15E4D"/>
    <w:rsid w:val="00F16EA5"/>
    <w:rsid w:val="00F17CFD"/>
    <w:rsid w:val="00F21DC9"/>
    <w:rsid w:val="00F24A1A"/>
    <w:rsid w:val="00F2539D"/>
    <w:rsid w:val="00F254F5"/>
    <w:rsid w:val="00F263AC"/>
    <w:rsid w:val="00F30A51"/>
    <w:rsid w:val="00F352F3"/>
    <w:rsid w:val="00F361B4"/>
    <w:rsid w:val="00F36884"/>
    <w:rsid w:val="00F37260"/>
    <w:rsid w:val="00F37EE5"/>
    <w:rsid w:val="00F43ACB"/>
    <w:rsid w:val="00F44184"/>
    <w:rsid w:val="00F46E03"/>
    <w:rsid w:val="00F52C16"/>
    <w:rsid w:val="00F54733"/>
    <w:rsid w:val="00F567DA"/>
    <w:rsid w:val="00F575E1"/>
    <w:rsid w:val="00F57C3D"/>
    <w:rsid w:val="00F60A3D"/>
    <w:rsid w:val="00F61344"/>
    <w:rsid w:val="00F6463C"/>
    <w:rsid w:val="00F646AB"/>
    <w:rsid w:val="00F64B42"/>
    <w:rsid w:val="00F66271"/>
    <w:rsid w:val="00F66AAA"/>
    <w:rsid w:val="00F723AB"/>
    <w:rsid w:val="00F73116"/>
    <w:rsid w:val="00F73353"/>
    <w:rsid w:val="00F73A17"/>
    <w:rsid w:val="00F74E73"/>
    <w:rsid w:val="00F74F2A"/>
    <w:rsid w:val="00F7763F"/>
    <w:rsid w:val="00F80476"/>
    <w:rsid w:val="00F80516"/>
    <w:rsid w:val="00F805B6"/>
    <w:rsid w:val="00F80BBA"/>
    <w:rsid w:val="00F822CD"/>
    <w:rsid w:val="00F8346A"/>
    <w:rsid w:val="00F83782"/>
    <w:rsid w:val="00F8460B"/>
    <w:rsid w:val="00F8481C"/>
    <w:rsid w:val="00F84B2E"/>
    <w:rsid w:val="00F857C8"/>
    <w:rsid w:val="00F8589A"/>
    <w:rsid w:val="00F86DAE"/>
    <w:rsid w:val="00F872A5"/>
    <w:rsid w:val="00F87851"/>
    <w:rsid w:val="00F910B8"/>
    <w:rsid w:val="00F91564"/>
    <w:rsid w:val="00F92165"/>
    <w:rsid w:val="00F93BCF"/>
    <w:rsid w:val="00F94DD8"/>
    <w:rsid w:val="00F96479"/>
    <w:rsid w:val="00FA09B4"/>
    <w:rsid w:val="00FA35AE"/>
    <w:rsid w:val="00FA45BC"/>
    <w:rsid w:val="00FA59D2"/>
    <w:rsid w:val="00FA625D"/>
    <w:rsid w:val="00FA7152"/>
    <w:rsid w:val="00FA74C1"/>
    <w:rsid w:val="00FA7CFD"/>
    <w:rsid w:val="00FB0D0A"/>
    <w:rsid w:val="00FB30B3"/>
    <w:rsid w:val="00FC048E"/>
    <w:rsid w:val="00FC0C89"/>
    <w:rsid w:val="00FC1057"/>
    <w:rsid w:val="00FC2BB6"/>
    <w:rsid w:val="00FC3F7E"/>
    <w:rsid w:val="00FC62C6"/>
    <w:rsid w:val="00FC6894"/>
    <w:rsid w:val="00FC71B3"/>
    <w:rsid w:val="00FC77D7"/>
    <w:rsid w:val="00FC7B21"/>
    <w:rsid w:val="00FC7FB5"/>
    <w:rsid w:val="00FD03F9"/>
    <w:rsid w:val="00FD0F43"/>
    <w:rsid w:val="00FD116D"/>
    <w:rsid w:val="00FD27C8"/>
    <w:rsid w:val="00FD6346"/>
    <w:rsid w:val="00FD7CA3"/>
    <w:rsid w:val="00FE0E94"/>
    <w:rsid w:val="00FE1232"/>
    <w:rsid w:val="00FE1B1B"/>
    <w:rsid w:val="00FE20A7"/>
    <w:rsid w:val="00FE51D9"/>
    <w:rsid w:val="00FE6622"/>
    <w:rsid w:val="00FE7EF3"/>
    <w:rsid w:val="00FF0113"/>
    <w:rsid w:val="00FF0237"/>
    <w:rsid w:val="00FF0AB2"/>
    <w:rsid w:val="00FF13BD"/>
    <w:rsid w:val="00FF2EC2"/>
    <w:rsid w:val="00FF365C"/>
    <w:rsid w:val="00FF6E94"/>
  </w:rsids>
  <m:mathPr>
    <m:mathFont m:val="Wingdings 2"/>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E0FC8"/>
    <w:rPr>
      <w:rFonts w:ascii="Arial" w:hAnsi="Arial"/>
      <w:sz w:val="22"/>
      <w:szCs w:val="24"/>
      <w:lang w:val="de-CH" w:eastAsia="en-US"/>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paragraph" w:styleId="En-tte">
    <w:name w:val="header"/>
    <w:basedOn w:val="Normal"/>
    <w:rsid w:val="00806F8D"/>
    <w:pPr>
      <w:tabs>
        <w:tab w:val="center" w:pos="4536"/>
        <w:tab w:val="right" w:pos="9072"/>
      </w:tabs>
    </w:pPr>
  </w:style>
  <w:style w:type="paragraph" w:styleId="Pieddepage">
    <w:name w:val="footer"/>
    <w:basedOn w:val="Normal"/>
    <w:link w:val="PieddepageCar"/>
    <w:uiPriority w:val="99"/>
    <w:rsid w:val="00806F8D"/>
    <w:pPr>
      <w:tabs>
        <w:tab w:val="center" w:pos="4536"/>
        <w:tab w:val="right" w:pos="9072"/>
      </w:tabs>
    </w:pPr>
  </w:style>
  <w:style w:type="paragraph" w:customStyle="1" w:styleId="DefaultParagraphFontCharCharChar">
    <w:name w:val="Default Paragraph Font Char Char Char"/>
    <w:aliases w:val="Default Paragraph Font Para Char Char Char Char Char"/>
    <w:basedOn w:val="Normal"/>
    <w:rsid w:val="00806F8D"/>
    <w:pPr>
      <w:spacing w:after="160" w:line="240" w:lineRule="exact"/>
    </w:pPr>
    <w:rPr>
      <w:rFonts w:cs="Arial"/>
      <w:sz w:val="20"/>
      <w:szCs w:val="20"/>
    </w:rPr>
  </w:style>
  <w:style w:type="paragraph" w:customStyle="1" w:styleId="KopfDept">
    <w:name w:val="KopfDept"/>
    <w:basedOn w:val="En-tte"/>
    <w:next w:val="Normal"/>
    <w:rsid w:val="00806F8D"/>
    <w:pPr>
      <w:tabs>
        <w:tab w:val="clear" w:pos="4536"/>
        <w:tab w:val="clear" w:pos="9072"/>
      </w:tabs>
      <w:suppressAutoHyphens/>
      <w:spacing w:after="100" w:line="200" w:lineRule="exact"/>
      <w:contextualSpacing/>
    </w:pPr>
    <w:rPr>
      <w:noProof/>
      <w:sz w:val="15"/>
      <w:szCs w:val="20"/>
      <w:lang w:eastAsia="de-CH"/>
    </w:rPr>
  </w:style>
  <w:style w:type="paragraph" w:customStyle="1" w:styleId="Logo">
    <w:name w:val="Logo"/>
    <w:rsid w:val="00806F8D"/>
    <w:rPr>
      <w:rFonts w:ascii="Arial" w:hAnsi="Arial"/>
      <w:noProof/>
      <w:sz w:val="15"/>
      <w:lang w:val="de-CH" w:eastAsia="de-CH"/>
    </w:rPr>
  </w:style>
  <w:style w:type="character" w:styleId="Numrodepage">
    <w:name w:val="page number"/>
    <w:basedOn w:val="Policepardfaut"/>
    <w:rsid w:val="008C2630"/>
  </w:style>
  <w:style w:type="character" w:styleId="Marquedannotation">
    <w:name w:val="annotation reference"/>
    <w:rsid w:val="00F73116"/>
    <w:rPr>
      <w:sz w:val="16"/>
      <w:szCs w:val="16"/>
    </w:rPr>
  </w:style>
  <w:style w:type="paragraph" w:styleId="Commentaire">
    <w:name w:val="annotation text"/>
    <w:basedOn w:val="Normal"/>
    <w:link w:val="CommentaireCar"/>
    <w:rsid w:val="00F73116"/>
    <w:rPr>
      <w:sz w:val="20"/>
      <w:szCs w:val="20"/>
    </w:rPr>
  </w:style>
  <w:style w:type="character" w:customStyle="1" w:styleId="CommentaireCar">
    <w:name w:val="Commentaire Car"/>
    <w:link w:val="Commentaire"/>
    <w:rsid w:val="00F73116"/>
    <w:rPr>
      <w:rFonts w:ascii="Arial" w:hAnsi="Arial"/>
      <w:lang w:eastAsia="en-US"/>
    </w:rPr>
  </w:style>
  <w:style w:type="paragraph" w:styleId="Objetducommentaire">
    <w:name w:val="annotation subject"/>
    <w:basedOn w:val="Commentaire"/>
    <w:next w:val="Commentaire"/>
    <w:link w:val="ObjetducommentaireCar"/>
    <w:rsid w:val="00F73116"/>
    <w:rPr>
      <w:b/>
      <w:bCs/>
    </w:rPr>
  </w:style>
  <w:style w:type="character" w:customStyle="1" w:styleId="ObjetducommentaireCar">
    <w:name w:val="Objet du commentaire Car"/>
    <w:link w:val="Objetducommentaire"/>
    <w:rsid w:val="00F73116"/>
    <w:rPr>
      <w:rFonts w:ascii="Arial" w:hAnsi="Arial"/>
      <w:b/>
      <w:bCs/>
      <w:lang w:eastAsia="en-US"/>
    </w:rPr>
  </w:style>
  <w:style w:type="paragraph" w:styleId="Textedebulles">
    <w:name w:val="Balloon Text"/>
    <w:basedOn w:val="Normal"/>
    <w:link w:val="TextedebullesCar"/>
    <w:rsid w:val="00F73116"/>
    <w:rPr>
      <w:rFonts w:ascii="Tahoma" w:hAnsi="Tahoma"/>
      <w:sz w:val="16"/>
      <w:szCs w:val="16"/>
    </w:rPr>
  </w:style>
  <w:style w:type="character" w:customStyle="1" w:styleId="TextedebullesCar">
    <w:name w:val="Texte de bulles Car"/>
    <w:link w:val="Textedebulles"/>
    <w:rsid w:val="00F73116"/>
    <w:rPr>
      <w:rFonts w:ascii="Tahoma" w:hAnsi="Tahoma" w:cs="Tahoma"/>
      <w:sz w:val="16"/>
      <w:szCs w:val="16"/>
      <w:lang w:eastAsia="en-US"/>
    </w:rPr>
  </w:style>
  <w:style w:type="paragraph" w:styleId="Notedebasdepage">
    <w:name w:val="footnote text"/>
    <w:basedOn w:val="Normal"/>
    <w:link w:val="NotedebasdepageCar"/>
    <w:rsid w:val="00CF1D4A"/>
    <w:rPr>
      <w:sz w:val="20"/>
      <w:szCs w:val="20"/>
    </w:rPr>
  </w:style>
  <w:style w:type="character" w:customStyle="1" w:styleId="NotedebasdepageCar">
    <w:name w:val="Note de bas de page Car"/>
    <w:link w:val="Notedebasdepage"/>
    <w:rsid w:val="00CF1D4A"/>
    <w:rPr>
      <w:rFonts w:ascii="Arial" w:hAnsi="Arial"/>
      <w:lang w:eastAsia="en-US"/>
    </w:rPr>
  </w:style>
  <w:style w:type="character" w:styleId="Marquenotebasdepage">
    <w:name w:val="footnote reference"/>
    <w:rsid w:val="00CF1D4A"/>
    <w:rPr>
      <w:vertAlign w:val="superscript"/>
    </w:rPr>
  </w:style>
  <w:style w:type="character" w:styleId="Accentuation">
    <w:name w:val="Emphasis"/>
    <w:qFormat/>
    <w:rsid w:val="00C71271"/>
    <w:rPr>
      <w:i/>
      <w:iCs/>
    </w:rPr>
  </w:style>
  <w:style w:type="character" w:customStyle="1" w:styleId="PieddepageCar">
    <w:name w:val="Pied de page Car"/>
    <w:basedOn w:val="Policepardfaut"/>
    <w:link w:val="Pieddepage"/>
    <w:uiPriority w:val="99"/>
    <w:rsid w:val="001A6C8A"/>
    <w:rPr>
      <w:rFonts w:ascii="Arial" w:hAnsi="Arial"/>
      <w:sz w:val="22"/>
      <w:szCs w:val="24"/>
      <w:lang w:eastAsia="en-US"/>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5DDF1C-2672-4ADC-87DA-8FC47659F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1448</Words>
  <Characters>8255</Characters>
  <Application>Microsoft Word 12.0.1</Application>
  <DocSecurity>0</DocSecurity>
  <Lines>68</Lines>
  <Paragraphs>16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Weisung für die Planung und Erstellung von Bauprojekten der Humanitären Hilfe der Schweiz</vt:lpstr>
      <vt:lpstr>Weisung für die Planung und Erstellung von Bauprojekten der Humanitären Hilfe der Schweiz</vt:lpstr>
    </vt:vector>
  </TitlesOfParts>
  <Company>Atelier G+S</Company>
  <LinksUpToDate>false</LinksUpToDate>
  <CharactersWithSpaces>10137</CharactersWithSpaces>
  <SharedDoc>false</SharedDoc>
  <HyperlinksChanged>false</HyperlinksChanged>
  <AppVersion>12.0001</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Weisung für die Planung und Erstellung von Bauprojekten der Humanitären Hilfe der Schweiz</dc:title>
  <dc:creator>Ueli Salzmann</dc:creator>
  <cp:lastModifiedBy>--- ---</cp:lastModifiedBy>
  <cp:revision>2</cp:revision>
  <cp:lastPrinted>2012-03-22T10:08:00Z</cp:lastPrinted>
  <dcterms:created xsi:type="dcterms:W3CDTF">2012-03-22T10:09:00Z</dcterms:created>
  <dcterms:modified xsi:type="dcterms:W3CDTF">2012-03-22T10:09:00Z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DEZAPRECONFIG@15.1700:SubFileNumber">
    <vt:lpwstr>14</vt:lpwstr>
  </property>
  <property fmtid="{D5CDD505-2E9C-101B-9397-08002B2CF9AE}" pid="3" name="FSC#DEZAPRECONFIG@15.1700:SubFileDate">
    <vt:lpwstr>2011-05-27</vt:lpwstr>
  </property>
  <property fmtid="{D5CDD505-2E9C-101B-9397-08002B2CF9AE}" pid="4" name="FSC#DEZAPRECONFIG@15.1700:DocName">
    <vt:lpwstr>Richtlinie für die Vergabe von Dienstleistungs- und Bauaufträgen für Bauprojekte der HH+SKH_31.5.2011</vt:lpwstr>
  </property>
  <property fmtid="{D5CDD505-2E9C-101B-9397-08002B2CF9AE}" pid="5" name="FSC#DEZAPRECONFIG@15.1700:DocChangedAt">
    <vt:lpwstr>05.07.2011 09:18:31</vt:lpwstr>
  </property>
  <property fmtid="{D5CDD505-2E9C-101B-9397-08002B2CF9AE}" pid="6" name="FSC#DEZAPRECONFIG@15.1700:DocChangedBy">
    <vt:lpwstr>Schlachter, Roland, SCN</vt:lpwstr>
  </property>
  <property fmtid="{D5CDD505-2E9C-101B-9397-08002B2CF9AE}" pid="7" name="FSC#DEZAPRECONFIG@15.1700:DocCreatedBy">
    <vt:lpwstr>Schlachter, Roland, SCN</vt:lpwstr>
  </property>
  <property fmtid="{D5CDD505-2E9C-101B-9397-08002B2CF9AE}" pid="8" name="FSC#DEZAPRECONFIG@15.1700:Filenumber">
    <vt:lpwstr/>
  </property>
  <property fmtid="{D5CDD505-2E9C-101B-9397-08002B2CF9AE}" pid="9" name="FSC#DEZAPRECONFIG@15.1700:FilenumberLabel">
    <vt:lpwstr/>
  </property>
  <property fmtid="{D5CDD505-2E9C-101B-9397-08002B2CF9AE}" pid="10" name="FSC#DEZAPRECONFIG@15.1700:RefCodeLabel">
    <vt:lpwstr/>
  </property>
  <property fmtid="{D5CDD505-2E9C-101B-9397-08002B2CF9AE}" pid="11" name="FSC#DEZAPRECONFIG@15.1700:CatTitleLabel">
    <vt:lpwstr/>
  </property>
  <property fmtid="{D5CDD505-2E9C-101B-9397-08002B2CF9AE}" pid="12" name="FSC#DEZAPRECONFIG@15.1700:DosTitleLabel">
    <vt:lpwstr/>
  </property>
  <property fmtid="{D5CDD505-2E9C-101B-9397-08002B2CF9AE}" pid="13" name="FSC#DEZAPRECONFIG@15.1700:AssemblyLabel">
    <vt:lpwstr/>
  </property>
  <property fmtid="{D5CDD505-2E9C-101B-9397-08002B2CF9AE}" pid="14" name="FSC#DEZAPRECONFIG@15.1700:ValidFromLabel">
    <vt:lpwstr/>
  </property>
  <property fmtid="{D5CDD505-2E9C-101B-9397-08002B2CF9AE}" pid="15" name="FSC#DEZAPRECONFIG@15.1700:ValidToLabel">
    <vt:lpwstr/>
  </property>
  <property fmtid="{D5CDD505-2E9C-101B-9397-08002B2CF9AE}" pid="16" name="FSC#DEZAPRECONFIG@15.1700:SubjGroupNrLabel">
    <vt:lpwstr/>
  </property>
  <property fmtid="{D5CDD505-2E9C-101B-9397-08002B2CF9AE}" pid="17" name="FSC#DEZAPRECONFIG@15.1700:SubjGroupLabel">
    <vt:lpwstr/>
  </property>
  <property fmtid="{D5CDD505-2E9C-101B-9397-08002B2CF9AE}" pid="18" name="FSC#DEZAPRECONFIG@15.1700:SubDosRefLabel">
    <vt:lpwstr/>
  </property>
  <property fmtid="{D5CDD505-2E9C-101B-9397-08002B2CF9AE}" pid="19" name="FSC#DEZAPRECONFIG@15.1700:SubDosTitleLabel">
    <vt:lpwstr/>
  </property>
  <property fmtid="{D5CDD505-2E9C-101B-9397-08002B2CF9AE}" pid="20" name="FSC#DEZAPRECONFIG@15.1700:SubDosOpenedAtLabel">
    <vt:lpwstr/>
  </property>
  <property fmtid="{D5CDD505-2E9C-101B-9397-08002B2CF9AE}" pid="21" name="FSC#DEZAPRECONFIG@15.1700:SubDosValidToLabel">
    <vt:lpwstr/>
  </property>
  <property fmtid="{D5CDD505-2E9C-101B-9397-08002B2CF9AE}" pid="22" name="FSC#COOSYSTEM@1.1:Container">
    <vt:lpwstr>COO.2011.100.13.135127</vt:lpwstr>
  </property>
  <property fmtid="{D5CDD505-2E9C-101B-9397-08002B2CF9AE}" pid="23" name="FSC#ELAKGOV@1.1001:PersonalSubjGender">
    <vt:lpwstr/>
  </property>
  <property fmtid="{D5CDD505-2E9C-101B-9397-08002B2CF9AE}" pid="24" name="FSC#ELAKGOV@1.1001:PersonalSubjFirstName">
    <vt:lpwstr/>
  </property>
  <property fmtid="{D5CDD505-2E9C-101B-9397-08002B2CF9AE}" pid="25" name="FSC#ELAKGOV@1.1001:PersonalSubjSurName">
    <vt:lpwstr/>
  </property>
  <property fmtid="{D5CDD505-2E9C-101B-9397-08002B2CF9AE}" pid="26" name="FSC#ELAKGOV@1.1001:PersonalSubjSalutation">
    <vt:lpwstr/>
  </property>
  <property fmtid="{D5CDD505-2E9C-101B-9397-08002B2CF9AE}" pid="27" name="FSC#ELAKGOV@1.1001:PersonalSubjAddress">
    <vt:lpwstr/>
  </property>
  <property fmtid="{D5CDD505-2E9C-101B-9397-08002B2CF9AE}" pid="28" name="FSC#COOELAK@1.1001:Subject">
    <vt:lpwstr/>
  </property>
  <property fmtid="{D5CDD505-2E9C-101B-9397-08002B2CF9AE}" pid="29" name="FSC#COOELAK@1.1001:FileReference">
    <vt:lpwstr/>
  </property>
  <property fmtid="{D5CDD505-2E9C-101B-9397-08002B2CF9AE}" pid="30" name="FSC#COOELAK@1.1001:FileRefYear">
    <vt:lpwstr/>
  </property>
  <property fmtid="{D5CDD505-2E9C-101B-9397-08002B2CF9AE}" pid="31" name="FSC#COOELAK@1.1001:FileRefOrdinal">
    <vt:lpwstr/>
  </property>
  <property fmtid="{D5CDD505-2E9C-101B-9397-08002B2CF9AE}" pid="32" name="FSC#COOELAK@1.1001:FileRefOU">
    <vt:lpwstr/>
  </property>
  <property fmtid="{D5CDD505-2E9C-101B-9397-08002B2CF9AE}" pid="33" name="FSC#COOELAK@1.1001:Organization">
    <vt:lpwstr/>
  </property>
  <property fmtid="{D5CDD505-2E9C-101B-9397-08002B2CF9AE}" pid="34" name="FSC#COOELAK@1.1001:Owner">
    <vt:lpwstr> Schlachter</vt:lpwstr>
  </property>
  <property fmtid="{D5CDD505-2E9C-101B-9397-08002B2CF9AE}" pid="35" name="FSC#COOELAK@1.1001:OwnerExtension">
    <vt:lpwstr/>
  </property>
  <property fmtid="{D5CDD505-2E9C-101B-9397-08002B2CF9AE}" pid="36" name="FSC#COOELAK@1.1001:OwnerFaxExtension">
    <vt:lpwstr/>
  </property>
  <property fmtid="{D5CDD505-2E9C-101B-9397-08002B2CF9AE}" pid="37" name="FSC#COOELAK@1.1001:DispatchedBy">
    <vt:lpwstr/>
  </property>
  <property fmtid="{D5CDD505-2E9C-101B-9397-08002B2CF9AE}" pid="38" name="FSC#COOELAK@1.1001:DispatchedAt">
    <vt:lpwstr/>
  </property>
  <property fmtid="{D5CDD505-2E9C-101B-9397-08002B2CF9AE}" pid="39" name="FSC#COOELAK@1.1001:ApprovedBy">
    <vt:lpwstr/>
  </property>
  <property fmtid="{D5CDD505-2E9C-101B-9397-08002B2CF9AE}" pid="40" name="FSC#COOELAK@1.1001:ApprovedAt">
    <vt:lpwstr/>
  </property>
  <property fmtid="{D5CDD505-2E9C-101B-9397-08002B2CF9AE}" pid="41" name="FSC#COOELAK@1.1001:Department">
    <vt:lpwstr>Asien und Amerika</vt:lpwstr>
  </property>
  <property fmtid="{D5CDD505-2E9C-101B-9397-08002B2CF9AE}" pid="42" name="FSC#COOELAK@1.1001:CreatedAt">
    <vt:lpwstr>05.07.2011 09:16:36</vt:lpwstr>
  </property>
  <property fmtid="{D5CDD505-2E9C-101B-9397-08002B2CF9AE}" pid="43" name="FSC#COOELAK@1.1001:OU">
    <vt:lpwstr>Asien und Amerika</vt:lpwstr>
  </property>
  <property fmtid="{D5CDD505-2E9C-101B-9397-08002B2CF9AE}" pid="44" name="FSC#COOELAK@1.1001:Priority">
    <vt:lpwstr/>
  </property>
  <property fmtid="{D5CDD505-2E9C-101B-9397-08002B2CF9AE}" pid="45" name="FSC#COOELAK@1.1001:ObjBarCode">
    <vt:lpwstr>*COO.2011.100.13.135127*</vt:lpwstr>
  </property>
  <property fmtid="{D5CDD505-2E9C-101B-9397-08002B2CF9AE}" pid="46" name="FSC#COOELAK@1.1001:RefBarCode">
    <vt:lpwstr>*Richtlinie für die Vergabe von Dienstleistungs- und Bauaufträgen für Bauprojekte der HH+SKH_31.5.2011*</vt:lpwstr>
  </property>
  <property fmtid="{D5CDD505-2E9C-101B-9397-08002B2CF9AE}" pid="47" name="FSC#COOELAK@1.1001:FileRefBarCode">
    <vt:lpwstr/>
  </property>
  <property fmtid="{D5CDD505-2E9C-101B-9397-08002B2CF9AE}" pid="48" name="FSC#COOELAK@1.1001:ExternalRef">
    <vt:lpwstr/>
  </property>
  <property fmtid="{D5CDD505-2E9C-101B-9397-08002B2CF9AE}" pid="49" name="FSC#COOELAK@1.1001:IncomingNumber">
    <vt:lpwstr/>
  </property>
  <property fmtid="{D5CDD505-2E9C-101B-9397-08002B2CF9AE}" pid="50" name="FSC#COOELAK@1.1001:IncomingSubject">
    <vt:lpwstr/>
  </property>
  <property fmtid="{D5CDD505-2E9C-101B-9397-08002B2CF9AE}" pid="51" name="FSC#COOELAK@1.1001:ProcessResponsible">
    <vt:lpwstr/>
  </property>
  <property fmtid="{D5CDD505-2E9C-101B-9397-08002B2CF9AE}" pid="52" name="FSC#COOELAK@1.1001:ProcessResponsiblePhone">
    <vt:lpwstr/>
  </property>
  <property fmtid="{D5CDD505-2E9C-101B-9397-08002B2CF9AE}" pid="53" name="FSC#COOELAK@1.1001:ProcessResponsibleMail">
    <vt:lpwstr/>
  </property>
  <property fmtid="{D5CDD505-2E9C-101B-9397-08002B2CF9AE}" pid="54" name="FSC#COOELAK@1.1001:ProcessResponsibleFax">
    <vt:lpwstr/>
  </property>
  <property fmtid="{D5CDD505-2E9C-101B-9397-08002B2CF9AE}" pid="55" name="FSC#COOELAK@1.1001:ApproverFirstName">
    <vt:lpwstr/>
  </property>
  <property fmtid="{D5CDD505-2E9C-101B-9397-08002B2CF9AE}" pid="56" name="FSC#COOELAK@1.1001:ApproverSurName">
    <vt:lpwstr/>
  </property>
  <property fmtid="{D5CDD505-2E9C-101B-9397-08002B2CF9AE}" pid="57" name="FSC#COOELAK@1.1001:ApproverTitle">
    <vt:lpwstr/>
  </property>
  <property fmtid="{D5CDD505-2E9C-101B-9397-08002B2CF9AE}" pid="58" name="FSC#COOELAK@1.1001:ExternalDate">
    <vt:lpwstr/>
  </property>
  <property fmtid="{D5CDD505-2E9C-101B-9397-08002B2CF9AE}" pid="59" name="FSC#COOELAK@1.1001:SettlementApprovedAt">
    <vt:lpwstr/>
  </property>
  <property fmtid="{D5CDD505-2E9C-101B-9397-08002B2CF9AE}" pid="60" name="FSC#COOELAK@1.1001:BaseNumber">
    <vt:lpwstr/>
  </property>
  <property fmtid="{D5CDD505-2E9C-101B-9397-08002B2CF9AE}" pid="61" name="FSC#COOELAK@1.1001:CurrentUserRolePos">
    <vt:lpwstr>Sachbearbeiter/-in</vt:lpwstr>
  </property>
  <property fmtid="{D5CDD505-2E9C-101B-9397-08002B2CF9AE}" pid="62" name="FSC#COOELAK@1.1001:CurrentUserEmail">
    <vt:lpwstr/>
  </property>
</Properties>
</file>